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6017CA" w:rsidP="0029181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NOTA </w:t>
      </w:r>
      <w:r w:rsidR="00FC3F8E" w:rsidRPr="00FC3F8E">
        <w:rPr>
          <w:rFonts w:ascii="Arial" w:hAnsi="Arial" w:cs="Arial"/>
          <w:b/>
        </w:rPr>
        <w:t>DE PRENSA - N° 0</w:t>
      </w:r>
      <w:r w:rsidR="002D48DA">
        <w:rPr>
          <w:rFonts w:ascii="Arial" w:hAnsi="Arial" w:cs="Arial"/>
          <w:b/>
        </w:rPr>
        <w:t>2</w:t>
      </w:r>
      <w:r w:rsidR="008E525F">
        <w:rPr>
          <w:rFonts w:ascii="Arial" w:hAnsi="Arial" w:cs="Arial"/>
          <w:b/>
        </w:rPr>
        <w:t>8</w:t>
      </w:r>
      <w:r w:rsidR="00FC3F8E" w:rsidRPr="00FC3F8E">
        <w:rPr>
          <w:rFonts w:ascii="Arial" w:hAnsi="Arial" w:cs="Arial"/>
          <w:b/>
        </w:rPr>
        <w:t>-2018 /JAO-CR</w:t>
      </w:r>
    </w:p>
    <w:p w:rsidR="001F1E7F" w:rsidRDefault="001F1E7F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8E525F" w:rsidRPr="00277E11" w:rsidRDefault="008E525F" w:rsidP="008E525F">
      <w:pPr>
        <w:jc w:val="center"/>
        <w:rPr>
          <w:rFonts w:ascii="Eras Medium ITC" w:hAnsi="Eras Medium ITC"/>
          <w:b/>
        </w:rPr>
      </w:pPr>
      <w:r w:rsidRPr="00277E11">
        <w:rPr>
          <w:rFonts w:ascii="Eras Medium ITC" w:hAnsi="Eras Medium ITC"/>
          <w:b/>
        </w:rPr>
        <w:t>GOBIERNO LANZA SALVATAJE PARA</w:t>
      </w:r>
      <w:r>
        <w:rPr>
          <w:rFonts w:ascii="Eras Medium ITC" w:hAnsi="Eras Medium ITC"/>
          <w:b/>
        </w:rPr>
        <w:t xml:space="preserve"> GRANDES</w:t>
      </w:r>
      <w:r w:rsidRPr="00277E11">
        <w:rPr>
          <w:rFonts w:ascii="Eras Medium ITC" w:hAnsi="Eras Medium ITC"/>
          <w:b/>
        </w:rPr>
        <w:t xml:space="preserve"> EMPRESAS DEL “CLUB DE LA CONSTRUCCIÓN”</w:t>
      </w:r>
    </w:p>
    <w:p w:rsidR="008E525F" w:rsidRPr="00A274F7" w:rsidRDefault="008E525F" w:rsidP="008E525F">
      <w:pPr>
        <w:jc w:val="both"/>
        <w:rPr>
          <w:rFonts w:ascii="Eras Medium ITC" w:hAnsi="Eras Medium ITC"/>
          <w:b/>
          <w:i/>
        </w:rPr>
      </w:pPr>
      <w:r w:rsidRPr="00A274F7">
        <w:rPr>
          <w:rFonts w:ascii="Eras Medium ITC" w:hAnsi="Eras Medium ITC"/>
          <w:b/>
          <w:i/>
        </w:rPr>
        <w:t>Proyecto de Ley 2408 permite que empresas comprometidas en corrupción puedan contratar con el Estado</w:t>
      </w:r>
    </w:p>
    <w:p w:rsidR="008E525F" w:rsidRPr="00277E11" w:rsidRDefault="008E525F" w:rsidP="008E525F">
      <w:pPr>
        <w:pStyle w:val="Prrafodelista"/>
        <w:spacing w:after="0"/>
        <w:jc w:val="both"/>
        <w:rPr>
          <w:rFonts w:ascii="Eras Medium ITC" w:hAnsi="Eras Medium ITC"/>
          <w:b/>
          <w:sz w:val="24"/>
          <w:szCs w:val="24"/>
        </w:rPr>
      </w:pPr>
    </w:p>
    <w:p w:rsidR="008E525F" w:rsidRDefault="008E525F" w:rsidP="008E525F">
      <w:pPr>
        <w:jc w:val="both"/>
        <w:rPr>
          <w:rFonts w:ascii="Eras Medium ITC" w:hAnsi="Eras Medium ITC"/>
        </w:rPr>
      </w:pPr>
      <w:r w:rsidRPr="00277E11">
        <w:rPr>
          <w:rFonts w:ascii="Eras Medium ITC" w:hAnsi="Eras Medium ITC"/>
        </w:rPr>
        <w:t>El congresista Justiniano Apaza refiriéndose a la presentación por el Poder Ejecutivo del P.L. 2408/2017-PE “</w:t>
      </w:r>
      <w:r w:rsidRPr="00277E11">
        <w:rPr>
          <w:rFonts w:ascii="Eras Medium ITC" w:hAnsi="Eras Medium ITC"/>
          <w:i/>
        </w:rPr>
        <w:t>Ley que asegura el pago inmediato de la reparación civil a favor del Estado en casos de corrupción incentivando la colaboración eficaz y la reactivación de la economía</w:t>
      </w:r>
      <w:r w:rsidRPr="00277E11">
        <w:rPr>
          <w:rFonts w:ascii="Eras Medium ITC" w:hAnsi="Eras Medium ITC"/>
        </w:rPr>
        <w:t xml:space="preserve">”, consideró que el Ejecutivo actúa con cálculo para evitar el debate en el Congreso ya que, como es de conocimiento, </w:t>
      </w:r>
      <w:r>
        <w:rPr>
          <w:rFonts w:ascii="Eras Medium ITC" w:hAnsi="Eras Medium ITC"/>
        </w:rPr>
        <w:t>e</w:t>
      </w:r>
      <w:r w:rsidRPr="00277E11">
        <w:rPr>
          <w:rFonts w:ascii="Eras Medium ITC" w:hAnsi="Eras Medium ITC"/>
        </w:rPr>
        <w:t xml:space="preserve">ste se encuentra en un periodo de receso y, especialmente, porque los plazos que  dispondría son muy cortos, además que  la norma reemplazaría al DU 03-2017 cuya vigencia expira el 14 del presente mes. </w:t>
      </w:r>
    </w:p>
    <w:p w:rsidR="008E525F" w:rsidRPr="00277E11" w:rsidRDefault="008E525F" w:rsidP="008E525F">
      <w:pPr>
        <w:jc w:val="both"/>
        <w:rPr>
          <w:rFonts w:ascii="Eras Medium ITC" w:hAnsi="Eras Medium ITC"/>
        </w:rPr>
      </w:pPr>
    </w:p>
    <w:p w:rsidR="008E525F" w:rsidRPr="00277E11" w:rsidRDefault="008E525F" w:rsidP="008E525F">
      <w:pPr>
        <w:jc w:val="both"/>
        <w:rPr>
          <w:rFonts w:ascii="Eras Medium ITC" w:hAnsi="Eras Medium ITC"/>
        </w:rPr>
      </w:pPr>
      <w:r w:rsidRPr="00277E11">
        <w:rPr>
          <w:rFonts w:ascii="Eras Medium ITC" w:hAnsi="Eras Medium ITC"/>
        </w:rPr>
        <w:t xml:space="preserve">En estas condiciones si bien, declarativamente, la norma pretende evitar la paralización de las obras públicas o la ruptura de la cadena de pagos estableciendo un fideicomiso para garantizar el pago de la reparación civil, en realidad está dirigida al </w:t>
      </w:r>
      <w:r w:rsidRPr="00277E11">
        <w:rPr>
          <w:rFonts w:ascii="Eras Medium ITC" w:hAnsi="Eras Medium ITC"/>
          <w:i/>
        </w:rPr>
        <w:t xml:space="preserve">salvataje </w:t>
      </w:r>
      <w:r w:rsidRPr="00277E11">
        <w:rPr>
          <w:rFonts w:ascii="Eras Medium ITC" w:hAnsi="Eras Medium ITC"/>
        </w:rPr>
        <w:t>de las empresas constructoras que conforman el llamado “Club de la Construcción” y que tiene como integrantes nada menos a Graña y Montero, Cosapi, JJ Camet, Obrainsa, ICCGSA</w:t>
      </w:r>
      <w:r>
        <w:rPr>
          <w:rFonts w:ascii="Eras Medium ITC" w:hAnsi="Eras Medium ITC"/>
        </w:rPr>
        <w:t>,</w:t>
      </w:r>
      <w:r w:rsidRPr="00277E11">
        <w:rPr>
          <w:rFonts w:ascii="Eras Medium ITC" w:hAnsi="Eras Medium ITC"/>
        </w:rPr>
        <w:t xml:space="preserve"> entre las más importantes.</w:t>
      </w:r>
    </w:p>
    <w:p w:rsidR="008E525F" w:rsidRPr="00277E11" w:rsidRDefault="008E525F" w:rsidP="008E525F">
      <w:pPr>
        <w:jc w:val="both"/>
        <w:rPr>
          <w:rFonts w:ascii="Eras Medium ITC" w:hAnsi="Eras Medium ITC"/>
        </w:rPr>
      </w:pPr>
    </w:p>
    <w:p w:rsidR="008E525F" w:rsidRPr="00277E11" w:rsidRDefault="008E525F" w:rsidP="008E525F">
      <w:pPr>
        <w:jc w:val="both"/>
        <w:rPr>
          <w:rFonts w:ascii="Eras Medium ITC" w:hAnsi="Eras Medium ITC"/>
          <w:color w:val="222222"/>
          <w:shd w:val="clear" w:color="auto" w:fill="FAFAFA"/>
        </w:rPr>
      </w:pPr>
      <w:r w:rsidRPr="00277E11">
        <w:rPr>
          <w:rFonts w:ascii="Eras Medium ITC" w:hAnsi="Eras Medium ITC"/>
        </w:rPr>
        <w:t xml:space="preserve">“Con la aprobación de esta norma estas empresas y todas las empresas que puedan ser sentenciadas, estén investigadas, hayan admitido haber delinquido o las que estén vinculadas a las anteriores, tienen expedito el camino para realizar contratos con el Estado peruano. En realidad, lo que está en juego son los </w:t>
      </w:r>
      <w:r w:rsidRPr="00277E11">
        <w:rPr>
          <w:rFonts w:ascii="Eras Medium ITC" w:hAnsi="Eras Medium ITC"/>
          <w:color w:val="222222"/>
          <w:shd w:val="clear" w:color="auto" w:fill="FAFAFA"/>
        </w:rPr>
        <w:t>7,000 millones de soles para ejecutar 3,512 obras en 13 regiones afectadas por El Niño Costero que corresponden a la reconstrucción</w:t>
      </w:r>
      <w:r>
        <w:rPr>
          <w:rFonts w:ascii="Eras Medium ITC" w:hAnsi="Eras Medium ITC"/>
          <w:color w:val="222222"/>
          <w:shd w:val="clear" w:color="auto" w:fill="FAFAFA"/>
        </w:rPr>
        <w:t>. Considero que las empresas regionales deben tener la oportunidad de participar en este proceso y el Gobierno no las toma en cuenta</w:t>
      </w:r>
      <w:r w:rsidRPr="00277E11">
        <w:rPr>
          <w:rFonts w:ascii="Eras Medium ITC" w:hAnsi="Eras Medium ITC"/>
          <w:color w:val="222222"/>
          <w:shd w:val="clear" w:color="auto" w:fill="FAFAFA"/>
        </w:rPr>
        <w:t>” señaló Apaza Ordóñez.</w:t>
      </w:r>
    </w:p>
    <w:p w:rsidR="008E525F" w:rsidRDefault="008E525F" w:rsidP="008E525F">
      <w:pPr>
        <w:jc w:val="both"/>
        <w:rPr>
          <w:rFonts w:ascii="Eras Medium ITC" w:hAnsi="Eras Medium ITC"/>
          <w:color w:val="222222"/>
          <w:shd w:val="clear" w:color="auto" w:fill="FAFAFA"/>
        </w:rPr>
      </w:pPr>
    </w:p>
    <w:p w:rsidR="008E525F" w:rsidRPr="00277E11" w:rsidRDefault="008E525F" w:rsidP="008E525F">
      <w:pPr>
        <w:jc w:val="both"/>
        <w:rPr>
          <w:rFonts w:ascii="Eras Medium ITC" w:hAnsi="Eras Medium ITC"/>
          <w:color w:val="222222"/>
          <w:shd w:val="clear" w:color="auto" w:fill="FAFAFA"/>
        </w:rPr>
      </w:pPr>
      <w:r w:rsidRPr="00277E11">
        <w:rPr>
          <w:rFonts w:ascii="Eras Medium ITC" w:hAnsi="Eras Medium ITC"/>
          <w:color w:val="222222"/>
          <w:shd w:val="clear" w:color="auto" w:fill="FAFAFA"/>
        </w:rPr>
        <w:t xml:space="preserve">Asimismo, el legislador expresó su preocupación por la  sobrevaloración en el costo de los proyectos a cargo de Odebrecht  y que seguramente  serán transferidas en esas condiciones, consideró que, en este caso, </w:t>
      </w:r>
      <w:r>
        <w:rPr>
          <w:rFonts w:ascii="Eras Medium ITC" w:hAnsi="Eras Medium ITC"/>
          <w:color w:val="222222"/>
          <w:shd w:val="clear" w:color="auto" w:fill="FAFAFA"/>
        </w:rPr>
        <w:t>es</w:t>
      </w:r>
      <w:r w:rsidRPr="00277E11">
        <w:rPr>
          <w:rFonts w:ascii="Eras Medium ITC" w:hAnsi="Eras Medium ITC"/>
          <w:color w:val="222222"/>
          <w:shd w:val="clear" w:color="auto" w:fill="FAFAFA"/>
        </w:rPr>
        <w:t xml:space="preserve"> necesario hacer una evaluación, ante de autorizar su transferencia, de lo contrario el Estado  estaría asumiendo los costos de la corrupción, precisó.</w:t>
      </w:r>
    </w:p>
    <w:p w:rsidR="008E525F" w:rsidRDefault="008E525F" w:rsidP="008E525F">
      <w:pPr>
        <w:jc w:val="both"/>
        <w:rPr>
          <w:rFonts w:ascii="Eras Medium ITC" w:hAnsi="Eras Medium ITC"/>
          <w:color w:val="222222"/>
          <w:shd w:val="clear" w:color="auto" w:fill="FAFAFA"/>
        </w:rPr>
      </w:pPr>
    </w:p>
    <w:p w:rsidR="008E525F" w:rsidRPr="00277E11" w:rsidRDefault="008E525F" w:rsidP="008E525F">
      <w:pPr>
        <w:jc w:val="both"/>
        <w:rPr>
          <w:rFonts w:ascii="Eras Medium ITC" w:hAnsi="Eras Medium ITC"/>
          <w:color w:val="222222"/>
          <w:shd w:val="clear" w:color="auto" w:fill="FAFAFA"/>
        </w:rPr>
      </w:pPr>
      <w:r w:rsidRPr="00277E11">
        <w:rPr>
          <w:rFonts w:ascii="Eras Medium ITC" w:hAnsi="Eras Medium ITC"/>
          <w:color w:val="222222"/>
          <w:shd w:val="clear" w:color="auto" w:fill="FAFAFA"/>
        </w:rPr>
        <w:t xml:space="preserve">Finalmente, Apaza Ordóñez llamó la atención sobre los riesgos ante la eventualidad  de no darse un dispositivo antes que expire la vigencia del D.U. 003-2017, que generaría un vacío legal que podría ser aprovechado por Odebrecht para transferir sus activos y el producto de ellos a su matriz. “Estamos en una situación en la que el Gobierno está obligado a dictar el Decreto de Urgencia que impida el vacío legal, naturalmente el Congreso deberá asumir su responsabilidad de evaluar el contenido de esta norma una  vez que  retome </w:t>
      </w:r>
      <w:r>
        <w:rPr>
          <w:rFonts w:ascii="Eras Medium ITC" w:hAnsi="Eras Medium ITC"/>
          <w:color w:val="222222"/>
          <w:shd w:val="clear" w:color="auto" w:fill="FAFAFA"/>
        </w:rPr>
        <w:t>su</w:t>
      </w:r>
      <w:r w:rsidRPr="00277E11">
        <w:rPr>
          <w:rFonts w:ascii="Eras Medium ITC" w:hAnsi="Eras Medium ITC"/>
          <w:color w:val="222222"/>
          <w:shd w:val="clear" w:color="auto" w:fill="FAFAFA"/>
        </w:rPr>
        <w:t>s actividades</w:t>
      </w:r>
      <w:r>
        <w:rPr>
          <w:rFonts w:ascii="Eras Medium ITC" w:hAnsi="Eras Medium ITC"/>
          <w:color w:val="222222"/>
          <w:shd w:val="clear" w:color="auto" w:fill="FAFAFA"/>
        </w:rPr>
        <w:t xml:space="preserve">”. </w:t>
      </w:r>
    </w:p>
    <w:p w:rsidR="008E525F" w:rsidRPr="00277E11" w:rsidRDefault="008E525F" w:rsidP="008E525F">
      <w:pPr>
        <w:jc w:val="both"/>
        <w:rPr>
          <w:rFonts w:ascii="Eras Medium ITC" w:hAnsi="Eras Medium ITC"/>
        </w:rPr>
      </w:pPr>
      <w:r w:rsidRPr="00277E11">
        <w:rPr>
          <w:rFonts w:ascii="Eras Medium ITC" w:hAnsi="Eras Medium ITC"/>
          <w:color w:val="222222"/>
          <w:shd w:val="clear" w:color="auto" w:fill="FAFAFA"/>
        </w:rPr>
        <w:t>Lima,</w:t>
      </w:r>
    </w:p>
    <w:p w:rsidR="008E525F" w:rsidRPr="004311B7" w:rsidRDefault="008E525F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FC3F8E" w:rsidRPr="0033599D" w:rsidRDefault="00FC3F8E" w:rsidP="00FC3F8E">
      <w:pPr>
        <w:shd w:val="clear" w:color="auto" w:fill="FFFFFF"/>
        <w:jc w:val="center"/>
        <w:rPr>
          <w:rFonts w:ascii="Arial" w:hAnsi="Arial" w:cs="Arial"/>
          <w:color w:val="222222"/>
          <w:lang w:eastAsia="es-PE"/>
        </w:rPr>
      </w:pPr>
      <w:r w:rsidRPr="0033599D">
        <w:rPr>
          <w:rFonts w:ascii="Arial" w:hAnsi="Arial" w:cs="Arial"/>
          <w:b/>
          <w:bCs/>
          <w:color w:val="222222"/>
          <w:lang w:eastAsia="es-PE"/>
        </w:rPr>
        <w:t> </w:t>
      </w:r>
    </w:p>
    <w:p w:rsidR="00E763D0" w:rsidRPr="002F2BCD" w:rsidRDefault="00E763D0" w:rsidP="002F2BCD">
      <w:pPr>
        <w:jc w:val="center"/>
        <w:rPr>
          <w:rFonts w:ascii="Century Gothic" w:hAnsi="Century Gothic"/>
        </w:rPr>
      </w:pPr>
      <w:r w:rsidRPr="00670214">
        <w:rPr>
          <w:rFonts w:ascii="Century Gothic" w:hAnsi="Century Gothic"/>
          <w:b/>
        </w:rPr>
        <w:lastRenderedPageBreak/>
        <w:t>Sin Luchas No Hay Victorias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7D5507">
        <w:rPr>
          <w:rFonts w:ascii="Arial" w:hAnsi="Arial" w:cs="Arial"/>
        </w:rPr>
        <w:t>1</w:t>
      </w:r>
      <w:r w:rsidR="008E525F">
        <w:rPr>
          <w:rFonts w:ascii="Arial" w:hAnsi="Arial" w:cs="Arial"/>
        </w:rPr>
        <w:t>0</w:t>
      </w:r>
      <w:r w:rsidR="00FC3F8E">
        <w:rPr>
          <w:rFonts w:ascii="Arial" w:hAnsi="Arial" w:cs="Arial"/>
        </w:rPr>
        <w:t xml:space="preserve"> de </w:t>
      </w:r>
      <w:r w:rsidR="00674348">
        <w:rPr>
          <w:rFonts w:ascii="Arial" w:hAnsi="Arial" w:cs="Arial"/>
        </w:rPr>
        <w:t>febr</w:t>
      </w:r>
      <w:r w:rsidR="00FC3F8E">
        <w:rPr>
          <w:rFonts w:ascii="Arial" w:hAnsi="Arial" w:cs="Arial"/>
        </w:rPr>
        <w:t>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Pr="009C692D" w:rsidRDefault="00D23310" w:rsidP="00EC131D">
      <w:pPr>
        <w:rPr>
          <w:rFonts w:ascii="Arial" w:hAnsi="Arial" w:cs="Arial"/>
        </w:rPr>
      </w:pPr>
    </w:p>
    <w:sectPr w:rsidR="00D23310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8E" w:rsidRDefault="00697C8E">
      <w:r>
        <w:separator/>
      </w:r>
    </w:p>
  </w:endnote>
  <w:endnote w:type="continuationSeparator" w:id="0">
    <w:p w:rsidR="00697C8E" w:rsidRDefault="0069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8E" w:rsidRDefault="00697C8E">
      <w:r>
        <w:separator/>
      </w:r>
    </w:p>
  </w:footnote>
  <w:footnote w:type="continuationSeparator" w:id="0">
    <w:p w:rsidR="00697C8E" w:rsidRDefault="0069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1BCA9F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452A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97C8E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B84F-C877-4138-9FB5-D889EB42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2018-01-09T23:38:00Z</cp:lastPrinted>
  <dcterms:created xsi:type="dcterms:W3CDTF">2018-04-12T17:38:00Z</dcterms:created>
  <dcterms:modified xsi:type="dcterms:W3CDTF">2018-04-12T17:38:00Z</dcterms:modified>
</cp:coreProperties>
</file>