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E47BF0" w:rsidP="00C72815">
      <w:pPr>
        <w:jc w:val="center"/>
        <w:rPr>
          <w:rFonts w:ascii="Arial" w:hAnsi="Arial" w:cs="Arial"/>
          <w:b/>
        </w:rPr>
      </w:pPr>
      <w:r>
        <w:rPr>
          <w:rFonts w:ascii="Arial" w:hAnsi="Arial" w:cs="Arial"/>
          <w:b/>
        </w:rPr>
        <w:t>NOT</w:t>
      </w:r>
      <w:r w:rsidR="00F44A35">
        <w:rPr>
          <w:rFonts w:ascii="Arial" w:hAnsi="Arial" w:cs="Arial"/>
          <w:b/>
        </w:rPr>
        <w:t>A</w:t>
      </w:r>
      <w:r w:rsidR="00A00AE7" w:rsidRPr="009C7498">
        <w:rPr>
          <w:rFonts w:ascii="Arial" w:hAnsi="Arial" w:cs="Arial"/>
          <w:b/>
        </w:rPr>
        <w:t xml:space="preserve"> DE </w:t>
      </w:r>
      <w:r w:rsidR="00F92DCE">
        <w:rPr>
          <w:rFonts w:ascii="Arial" w:hAnsi="Arial" w:cs="Arial"/>
          <w:b/>
        </w:rPr>
        <w:t>PRENSA - N° 166</w:t>
      </w:r>
      <w:bookmarkStart w:id="0" w:name="_GoBack"/>
      <w:bookmarkEnd w:id="0"/>
      <w:r w:rsidR="00FC3F8E" w:rsidRPr="009C7498">
        <w:rPr>
          <w:rFonts w:ascii="Arial" w:hAnsi="Arial" w:cs="Arial"/>
          <w:b/>
        </w:rPr>
        <w:t>-2018 /JAO-CR</w:t>
      </w:r>
    </w:p>
    <w:p w:rsidR="002C0E88" w:rsidRDefault="002C0E88" w:rsidP="002C0E88">
      <w:pPr>
        <w:jc w:val="center"/>
        <w:rPr>
          <w:rFonts w:ascii="Arial" w:hAnsi="Arial" w:cs="Arial"/>
          <w:b/>
        </w:rPr>
      </w:pPr>
    </w:p>
    <w:p w:rsidR="00F92DCE" w:rsidRDefault="00F92DCE" w:rsidP="00F92DCE">
      <w:pPr>
        <w:jc w:val="center"/>
        <w:rPr>
          <w:rFonts w:ascii="Gadugi" w:hAnsi="Gadugi"/>
          <w:b/>
        </w:rPr>
      </w:pPr>
      <w:r w:rsidRPr="007729FF">
        <w:rPr>
          <w:rFonts w:ascii="Gadugi" w:hAnsi="Gadugi"/>
          <w:b/>
        </w:rPr>
        <w:t>CONGRESISTA JUSTINIANO APAZA</w:t>
      </w:r>
      <w:r>
        <w:rPr>
          <w:rFonts w:ascii="Gadugi" w:hAnsi="Gadugi"/>
          <w:b/>
        </w:rPr>
        <w:t>: “GOBERNADORA</w:t>
      </w:r>
      <w:r w:rsidRPr="007729FF">
        <w:rPr>
          <w:rFonts w:ascii="Gadugi" w:hAnsi="Gadugi"/>
          <w:b/>
        </w:rPr>
        <w:t xml:space="preserve"> SE HA CONVERTIDO EN VOCERA DEL GRUPO ESPAÑOL COBRA</w:t>
      </w:r>
      <w:r>
        <w:rPr>
          <w:rFonts w:ascii="Gadugi" w:hAnsi="Gadugi"/>
          <w:b/>
        </w:rPr>
        <w:t>”</w:t>
      </w:r>
    </w:p>
    <w:p w:rsidR="00F92DCE" w:rsidRPr="007729FF" w:rsidRDefault="00F92DCE" w:rsidP="00F92DCE">
      <w:pPr>
        <w:jc w:val="center"/>
        <w:rPr>
          <w:rFonts w:ascii="Gadugi" w:hAnsi="Gadugi"/>
          <w:b/>
        </w:rPr>
      </w:pPr>
    </w:p>
    <w:p w:rsidR="00F92DCE" w:rsidRDefault="00F92DCE" w:rsidP="00F92DCE">
      <w:pPr>
        <w:jc w:val="both"/>
        <w:rPr>
          <w:rFonts w:ascii="Gadugi" w:hAnsi="Gadugi"/>
          <w:b/>
        </w:rPr>
      </w:pPr>
      <w:r w:rsidRPr="007729FF">
        <w:rPr>
          <w:rFonts w:ascii="Gadugi" w:hAnsi="Gadugi"/>
          <w:b/>
        </w:rPr>
        <w:t>Rechaza chantaje que obligaría firmar Adenda 13 en Majes Siguas II</w:t>
      </w:r>
    </w:p>
    <w:p w:rsidR="00F92DCE" w:rsidRPr="007729FF" w:rsidRDefault="00F92DCE" w:rsidP="00F92DCE">
      <w:pPr>
        <w:jc w:val="both"/>
        <w:rPr>
          <w:rFonts w:ascii="Gadugi" w:hAnsi="Gadugi"/>
          <w:b/>
        </w:rPr>
      </w:pPr>
    </w:p>
    <w:p w:rsidR="00F92DCE" w:rsidRDefault="00F92DCE" w:rsidP="00F92DCE">
      <w:pPr>
        <w:jc w:val="both"/>
        <w:rPr>
          <w:rFonts w:ascii="Gadugi" w:hAnsi="Gadugi"/>
        </w:rPr>
      </w:pPr>
      <w:r w:rsidRPr="007729FF">
        <w:rPr>
          <w:rFonts w:ascii="Gadugi" w:hAnsi="Gadugi"/>
        </w:rPr>
        <w:t>El congresista Justiniano Apaza se pronunció en relación a recientes declaraciones de la gobernadora regional sobre la situación del proyecto Majes Siguas II. Al respecto, se mostró sorprendido por las expresiones de la gobernadora que, en realidad, repite los argumentos del grupo español Cobra, concesionaria de Majes Siguas II, en el sentido que inevitablemente estamos obligados a suscribir la Adenda 13 que significaría aceptar un mayor costo del proyecto en 110 millones de dólares por el denominado “</w:t>
      </w:r>
      <w:r w:rsidRPr="007729FF">
        <w:rPr>
          <w:rFonts w:ascii="Gadugi" w:hAnsi="Gadugi"/>
          <w:i/>
        </w:rPr>
        <w:t>cambio tecnológico</w:t>
      </w:r>
      <w:r w:rsidRPr="007729FF">
        <w:rPr>
          <w:rFonts w:ascii="Gadugi" w:hAnsi="Gadugi"/>
        </w:rPr>
        <w:t>” ya que, según la gobernadora, de no ser así existiría el riesgo que el grupo Cobra entable un arbitraje, contra la Región Arequipa y el Estado peruano, aduciendo que dispondría de menores recursos hídricos para cumplir los objetivos del contrato.</w:t>
      </w:r>
    </w:p>
    <w:p w:rsidR="00F92DCE" w:rsidRPr="007729FF" w:rsidRDefault="00F92DCE" w:rsidP="00F92DCE">
      <w:pPr>
        <w:jc w:val="both"/>
        <w:rPr>
          <w:rFonts w:ascii="Gadugi" w:hAnsi="Gadugi"/>
        </w:rPr>
      </w:pPr>
    </w:p>
    <w:p w:rsidR="00F92DCE" w:rsidRPr="007729FF" w:rsidRDefault="00F92DCE" w:rsidP="00F92DCE">
      <w:pPr>
        <w:jc w:val="both"/>
        <w:rPr>
          <w:rFonts w:ascii="Gadugi" w:hAnsi="Gadugi"/>
        </w:rPr>
      </w:pPr>
      <w:r w:rsidRPr="007729FF">
        <w:rPr>
          <w:rFonts w:ascii="Gadugi" w:hAnsi="Gadugi"/>
        </w:rPr>
        <w:t>“</w:t>
      </w:r>
      <w:r w:rsidRPr="007729FF">
        <w:rPr>
          <w:rFonts w:ascii="Gadugi" w:hAnsi="Gadugi"/>
          <w:i/>
        </w:rPr>
        <w:t xml:space="preserve">En su afán de defender e imponer los intereses del grupo Cobra, </w:t>
      </w:r>
      <w:r>
        <w:rPr>
          <w:rFonts w:ascii="Gadugi" w:hAnsi="Gadugi"/>
          <w:i/>
        </w:rPr>
        <w:t xml:space="preserve">la gobernadora </w:t>
      </w:r>
      <w:r w:rsidRPr="007729FF">
        <w:rPr>
          <w:rFonts w:ascii="Gadugi" w:hAnsi="Gadugi"/>
          <w:i/>
        </w:rPr>
        <w:t>ignora, deliberadamente, que la propuesta de modificación del expediente técnico por cambio tecnológico se encuentra observada por la Supervisión Especializada dado que la justificación solo se refiere a aspectos generales (escasez de agua por cambio climático y necesidad de ahorro de agua), sin demostrar la afectación sobre la oferta hídrica; es decir, la propuesta del concesionario no cuenta con el debido sustento técnico, como se desprende del Informe de Acción Simultánea N° 784-2018-CG/APP-AS elaborada por el Contraloría, al que me remito</w:t>
      </w:r>
      <w:r w:rsidRPr="007729FF">
        <w:rPr>
          <w:rFonts w:ascii="Gadugi" w:hAnsi="Gadugi"/>
        </w:rPr>
        <w:t>”, sostuvo Apaza Ordóñez.</w:t>
      </w:r>
    </w:p>
    <w:p w:rsidR="00F92DCE" w:rsidRDefault="00F92DCE" w:rsidP="00F92DCE">
      <w:pPr>
        <w:jc w:val="both"/>
        <w:rPr>
          <w:rFonts w:ascii="Gadugi" w:hAnsi="Gadugi"/>
        </w:rPr>
      </w:pPr>
    </w:p>
    <w:p w:rsidR="00F92DCE" w:rsidRDefault="00F92DCE" w:rsidP="00F92DCE">
      <w:pPr>
        <w:jc w:val="both"/>
        <w:rPr>
          <w:rFonts w:ascii="Gadugi" w:hAnsi="Gadugi"/>
        </w:rPr>
      </w:pPr>
      <w:r w:rsidRPr="007729FF">
        <w:rPr>
          <w:rFonts w:ascii="Gadugi" w:hAnsi="Gadugi"/>
        </w:rPr>
        <w:t>Apaza Ordóñez, señaló que la conducta de defensa de los intereses del grupo Cobra, por sobre los intereses de Arequipa, por la gobernadora regional es reiterada. Recordó que el concesionario paralizó, unilateralmente, las obras el 27 diciembre de 2017; la gobernadora en vez de aplicar las penalidades correspondientes aceptó suscribir, en febrero de 2018, un “</w:t>
      </w:r>
      <w:r w:rsidRPr="007729FF">
        <w:rPr>
          <w:rFonts w:ascii="Gadugi" w:hAnsi="Gadugi"/>
          <w:i/>
        </w:rPr>
        <w:t>Acta de Suspensión de Obligaciones</w:t>
      </w:r>
      <w:r w:rsidRPr="007729FF">
        <w:rPr>
          <w:rFonts w:ascii="Gadugi" w:hAnsi="Gadugi"/>
        </w:rPr>
        <w:t>” por el cual acuerdan la suspensión de la presentación y aprobación del Expediente Técnico 2 hasta el 30 de diciembre de 2018 que implica, además, postergar el plazo para el cierre financiero. Peor aún, por expresiones de voceros de la gobernadora, pretenden que el mayor costo del proyecto, que implica la suscripción de la Adenda 13, sea asumido íntegramente por el Gobierno Regional.</w:t>
      </w:r>
    </w:p>
    <w:p w:rsidR="00F92DCE" w:rsidRPr="007729FF" w:rsidRDefault="00F92DCE" w:rsidP="00F92DCE">
      <w:pPr>
        <w:jc w:val="both"/>
        <w:rPr>
          <w:rFonts w:ascii="Gadugi" w:hAnsi="Gadugi"/>
        </w:rPr>
      </w:pPr>
    </w:p>
    <w:p w:rsidR="00F92DCE" w:rsidRPr="007729FF" w:rsidRDefault="00F92DCE" w:rsidP="00F92DCE">
      <w:pPr>
        <w:jc w:val="both"/>
        <w:rPr>
          <w:rFonts w:ascii="Gadugi" w:hAnsi="Gadugi"/>
        </w:rPr>
      </w:pPr>
      <w:r w:rsidRPr="007729FF">
        <w:rPr>
          <w:rFonts w:ascii="Gadugi" w:hAnsi="Gadugi"/>
        </w:rPr>
        <w:lastRenderedPageBreak/>
        <w:t xml:space="preserve">Apaza Ordóñez, considerando que en 30 días se elegirá al nuevo gobernador regional, exigió a </w:t>
      </w:r>
      <w:r>
        <w:rPr>
          <w:rFonts w:ascii="Gadugi" w:hAnsi="Gadugi"/>
        </w:rPr>
        <w:t xml:space="preserve">la gobernadora </w:t>
      </w:r>
      <w:r w:rsidRPr="007729FF">
        <w:rPr>
          <w:rFonts w:ascii="Gadugi" w:hAnsi="Gadugi"/>
        </w:rPr>
        <w:t>una actitud responsable y permita que la nueva gestión decida el destino del proyecto Majes Siguas II y otros de importancia regional. “</w:t>
      </w:r>
      <w:r w:rsidRPr="007729FF">
        <w:rPr>
          <w:rFonts w:ascii="Gadugi" w:hAnsi="Gadugi"/>
          <w:i/>
        </w:rPr>
        <w:t xml:space="preserve">Le sugiero a </w:t>
      </w:r>
      <w:r>
        <w:rPr>
          <w:rFonts w:ascii="Gadugi" w:hAnsi="Gadugi"/>
          <w:i/>
        </w:rPr>
        <w:t xml:space="preserve">la gobernadora </w:t>
      </w:r>
      <w:r w:rsidRPr="007729FF">
        <w:rPr>
          <w:rFonts w:ascii="Gadugi" w:hAnsi="Gadugi"/>
          <w:i/>
        </w:rPr>
        <w:t xml:space="preserve">que en los últimos días de su gestión se dedique a preparar la transferencia ordenada, disponiendo la información completa sobre aspectos controversiales pendientes de su gestión como los referidos a la Variante de </w:t>
      </w:r>
      <w:proofErr w:type="spellStart"/>
      <w:r w:rsidRPr="007729FF">
        <w:rPr>
          <w:rFonts w:ascii="Gadugi" w:hAnsi="Gadugi"/>
          <w:i/>
        </w:rPr>
        <w:t>Uchumayo</w:t>
      </w:r>
      <w:proofErr w:type="spellEnd"/>
      <w:r w:rsidRPr="007729FF">
        <w:rPr>
          <w:rFonts w:ascii="Gadugi" w:hAnsi="Gadugi"/>
          <w:i/>
        </w:rPr>
        <w:t>, la carretera Arequipa – La Joya, Majes Siguas II, entre otros, para que la toma de decisiones de la nueva gestión sea oportuna y suficientemente sustentada</w:t>
      </w:r>
      <w:r w:rsidRPr="007729FF">
        <w:rPr>
          <w:rFonts w:ascii="Gadugi" w:hAnsi="Gadugi"/>
        </w:rPr>
        <w:t>”, afirmó el legislador.</w:t>
      </w:r>
    </w:p>
    <w:p w:rsidR="00F92DCE" w:rsidRDefault="00F92DCE" w:rsidP="002C0E88">
      <w:pPr>
        <w:jc w:val="center"/>
        <w:rPr>
          <w:rFonts w:ascii="Arial" w:hAnsi="Arial" w:cs="Arial"/>
          <w:b/>
        </w:rPr>
      </w:pPr>
    </w:p>
    <w:p w:rsidR="00AC197A" w:rsidRPr="001F01B1" w:rsidRDefault="00AC197A" w:rsidP="00AC197A">
      <w:pPr>
        <w:jc w:val="both"/>
        <w:rPr>
          <w:rFonts w:ascii="Arial" w:hAnsi="Arial" w:cs="Arial"/>
        </w:rPr>
      </w:pPr>
    </w:p>
    <w:p w:rsidR="008A448D" w:rsidRPr="002C0E88" w:rsidRDefault="008A448D" w:rsidP="008A448D">
      <w:pPr>
        <w:shd w:val="clear" w:color="auto" w:fill="FFFFFF"/>
        <w:jc w:val="center"/>
        <w:rPr>
          <w:color w:val="222222"/>
          <w:lang w:val="es-PE" w:eastAsia="en-US"/>
        </w:rPr>
      </w:pPr>
      <w:r w:rsidRPr="008A448D">
        <w:rPr>
          <w:rFonts w:ascii="Arial" w:hAnsi="Arial" w:cs="Arial"/>
          <w:b/>
          <w:bCs/>
          <w:i/>
          <w:iCs/>
          <w:color w:val="222222"/>
          <w:lang w:val="es-PE" w:eastAsia="en-US"/>
        </w:rPr>
        <w:t>Sin luchas no hay victorias</w:t>
      </w:r>
    </w:p>
    <w:p w:rsidR="00C5606D" w:rsidRDefault="00C5606D" w:rsidP="00F44A35">
      <w:pPr>
        <w:shd w:val="clear" w:color="auto" w:fill="FFFFFF"/>
        <w:jc w:val="center"/>
        <w:rPr>
          <w:rFonts w:ascii="Arial" w:hAnsi="Arial" w:cs="Arial"/>
          <w:b/>
          <w:bCs/>
          <w:i/>
          <w:iCs/>
          <w:color w:val="222222"/>
          <w:lang w:val="es-PE" w:eastAsia="es-PE"/>
        </w:rPr>
      </w:pPr>
    </w:p>
    <w:p w:rsidR="00AC197A" w:rsidRDefault="00AC197A" w:rsidP="00F44A35">
      <w:pPr>
        <w:shd w:val="clear" w:color="auto" w:fill="FFFFFF"/>
        <w:jc w:val="center"/>
        <w:rPr>
          <w:rFonts w:ascii="Arial" w:hAnsi="Arial" w:cs="Arial"/>
          <w:b/>
          <w:bCs/>
          <w:i/>
          <w:iCs/>
          <w:color w:val="222222"/>
          <w:lang w:val="es-PE" w:eastAsia="es-PE"/>
        </w:rPr>
      </w:pPr>
    </w:p>
    <w:p w:rsidR="00C73106" w:rsidRPr="009C7498" w:rsidRDefault="00C73106" w:rsidP="00F44A35">
      <w:pPr>
        <w:shd w:val="clear" w:color="auto" w:fill="FFFFFF"/>
        <w:rPr>
          <w:rFonts w:ascii="Arial" w:hAnsi="Arial" w:cs="Arial"/>
        </w:rPr>
      </w:pPr>
      <w:r w:rsidRPr="009C7498">
        <w:rPr>
          <w:rFonts w:ascii="Arial" w:hAnsi="Arial" w:cs="Arial"/>
        </w:rPr>
        <w:t>Agradecemos su difusión.</w:t>
      </w:r>
    </w:p>
    <w:p w:rsidR="006D434B" w:rsidRPr="009C7498" w:rsidRDefault="00F92DCE" w:rsidP="00EC131D">
      <w:pPr>
        <w:rPr>
          <w:rFonts w:ascii="Arial" w:hAnsi="Arial" w:cs="Arial"/>
        </w:rPr>
      </w:pPr>
      <w:r>
        <w:rPr>
          <w:rFonts w:ascii="Arial" w:hAnsi="Arial" w:cs="Arial"/>
        </w:rPr>
        <w:t xml:space="preserve">Arequipa, 6 de noviembre </w:t>
      </w:r>
      <w:r w:rsidR="006D434B" w:rsidRPr="009C7498">
        <w:rPr>
          <w:rFonts w:ascii="Arial" w:hAnsi="Arial" w:cs="Arial"/>
        </w:rPr>
        <w:t>de 201</w:t>
      </w:r>
      <w:r w:rsidR="00FC3F8E" w:rsidRPr="009C7498">
        <w:rPr>
          <w:rFonts w:ascii="Arial" w:hAnsi="Arial" w:cs="Arial"/>
        </w:rPr>
        <w:t>8</w:t>
      </w:r>
    </w:p>
    <w:p w:rsidR="00C73106" w:rsidRPr="009C7498" w:rsidRDefault="00C73106" w:rsidP="00EC131D">
      <w:pPr>
        <w:rPr>
          <w:rFonts w:ascii="Arial" w:hAnsi="Arial" w:cs="Arial"/>
        </w:rPr>
      </w:pPr>
      <w:r w:rsidRPr="009C7498">
        <w:rPr>
          <w:rFonts w:ascii="Arial" w:hAnsi="Arial" w:cs="Arial"/>
        </w:rPr>
        <w:t>Prensa – Despacho Congresal</w:t>
      </w:r>
    </w:p>
    <w:p w:rsidR="00210B37" w:rsidRPr="009C7498"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p>
    <w:sectPr w:rsidR="00210B37" w:rsidRPr="009C7498" w:rsidSect="003F3D66">
      <w:headerReference w:type="default" r:id="rId8"/>
      <w:footerReference w:type="default" r:id="rId9"/>
      <w:pgSz w:w="11907" w:h="16839" w:code="9"/>
      <w:pgMar w:top="0"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04" w:rsidRDefault="007D0B04">
      <w:r>
        <w:separator/>
      </w:r>
    </w:p>
  </w:endnote>
  <w:endnote w:type="continuationSeparator" w:id="0">
    <w:p w:rsidR="007D0B04" w:rsidRDefault="007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proofErr w:type="spellStart"/>
    <w:r>
      <w:t>Congresista</w:t>
    </w:r>
    <w:proofErr w:type="spellEnd"/>
    <w:r>
      <w:t xml:space="preserve">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04" w:rsidRDefault="007D0B04">
      <w:r>
        <w:separator/>
      </w:r>
    </w:p>
  </w:footnote>
  <w:footnote w:type="continuationSeparator" w:id="0">
    <w:p w:rsidR="007D0B04" w:rsidRDefault="007D0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1126FF3B" wp14:editId="201A31BC">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27F2AEB9" wp14:editId="2425B63E">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AEB9"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55CD237E" wp14:editId="39D770BD">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62EDF"/>
    <w:multiLevelType w:val="hybridMultilevel"/>
    <w:tmpl w:val="DBFE28E2"/>
    <w:lvl w:ilvl="0" w:tplc="5CBA9F7C">
      <w:start w:val="1"/>
      <w:numFmt w:val="bullet"/>
      <w:lvlText w:val="-"/>
      <w:lvlJc w:val="left"/>
      <w:pPr>
        <w:ind w:left="720" w:hanging="360"/>
      </w:pPr>
      <w:rPr>
        <w:rFonts w:ascii="Gadugi" w:eastAsiaTheme="minorHAnsi" w:hAnsi="Gadug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9" w15:restartNumberingAfterBreak="0">
    <w:nsid w:val="2DFE305E"/>
    <w:multiLevelType w:val="hybridMultilevel"/>
    <w:tmpl w:val="5704A5CC"/>
    <w:lvl w:ilvl="0" w:tplc="55FE8CA6">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3"/>
  </w:num>
  <w:num w:numId="5">
    <w:abstractNumId w:val="14"/>
  </w:num>
  <w:num w:numId="6">
    <w:abstractNumId w:val="3"/>
  </w:num>
  <w:num w:numId="7">
    <w:abstractNumId w:val="19"/>
  </w:num>
  <w:num w:numId="8">
    <w:abstractNumId w:val="15"/>
  </w:num>
  <w:num w:numId="9">
    <w:abstractNumId w:val="18"/>
  </w:num>
  <w:num w:numId="10">
    <w:abstractNumId w:val="25"/>
  </w:num>
  <w:num w:numId="11">
    <w:abstractNumId w:val="5"/>
  </w:num>
  <w:num w:numId="12">
    <w:abstractNumId w:val="7"/>
  </w:num>
  <w:num w:numId="13">
    <w:abstractNumId w:val="20"/>
  </w:num>
  <w:num w:numId="14">
    <w:abstractNumId w:val="21"/>
  </w:num>
  <w:num w:numId="15">
    <w:abstractNumId w:val="4"/>
  </w:num>
  <w:num w:numId="16">
    <w:abstractNumId w:val="12"/>
  </w:num>
  <w:num w:numId="17">
    <w:abstractNumId w:val="6"/>
  </w:num>
  <w:num w:numId="18">
    <w:abstractNumId w:val="24"/>
  </w:num>
  <w:num w:numId="19">
    <w:abstractNumId w:val="11"/>
  </w:num>
  <w:num w:numId="20">
    <w:abstractNumId w:val="13"/>
  </w:num>
  <w:num w:numId="21">
    <w:abstractNumId w:val="17"/>
  </w:num>
  <w:num w:numId="22">
    <w:abstractNumId w:val="22"/>
  </w:num>
  <w:num w:numId="23">
    <w:abstractNumId w:val="16"/>
  </w:num>
  <w:num w:numId="24">
    <w:abstractNumId w:val="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8BE"/>
    <w:rsid w:val="00005AB3"/>
    <w:rsid w:val="00010686"/>
    <w:rsid w:val="000135B1"/>
    <w:rsid w:val="000135D8"/>
    <w:rsid w:val="0001415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E4701"/>
    <w:rsid w:val="000F075A"/>
    <w:rsid w:val="000F0B31"/>
    <w:rsid w:val="000F0F35"/>
    <w:rsid w:val="000F1BC5"/>
    <w:rsid w:val="000F3D2C"/>
    <w:rsid w:val="000F52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37735"/>
    <w:rsid w:val="00142395"/>
    <w:rsid w:val="00143948"/>
    <w:rsid w:val="001449E8"/>
    <w:rsid w:val="00150CE3"/>
    <w:rsid w:val="00150CF2"/>
    <w:rsid w:val="00150F65"/>
    <w:rsid w:val="0015502F"/>
    <w:rsid w:val="001629B7"/>
    <w:rsid w:val="0016394D"/>
    <w:rsid w:val="00164194"/>
    <w:rsid w:val="00164518"/>
    <w:rsid w:val="00165367"/>
    <w:rsid w:val="00165BEE"/>
    <w:rsid w:val="00166F34"/>
    <w:rsid w:val="00167D25"/>
    <w:rsid w:val="001763CE"/>
    <w:rsid w:val="001766BE"/>
    <w:rsid w:val="00177C41"/>
    <w:rsid w:val="00181037"/>
    <w:rsid w:val="00183A4F"/>
    <w:rsid w:val="00183CCE"/>
    <w:rsid w:val="001914DB"/>
    <w:rsid w:val="00194917"/>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2145"/>
    <w:rsid w:val="001F4F68"/>
    <w:rsid w:val="001F6C6C"/>
    <w:rsid w:val="001F791A"/>
    <w:rsid w:val="0020296A"/>
    <w:rsid w:val="00203404"/>
    <w:rsid w:val="00204003"/>
    <w:rsid w:val="00204513"/>
    <w:rsid w:val="002045F1"/>
    <w:rsid w:val="00204B79"/>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574CE"/>
    <w:rsid w:val="00257CE6"/>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0E88"/>
    <w:rsid w:val="002C1081"/>
    <w:rsid w:val="002C3B0C"/>
    <w:rsid w:val="002C736A"/>
    <w:rsid w:val="002D0985"/>
    <w:rsid w:val="002D214C"/>
    <w:rsid w:val="002D48DA"/>
    <w:rsid w:val="002D52ED"/>
    <w:rsid w:val="002D6397"/>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37442"/>
    <w:rsid w:val="00340154"/>
    <w:rsid w:val="003409A1"/>
    <w:rsid w:val="00341A7A"/>
    <w:rsid w:val="003424AF"/>
    <w:rsid w:val="00342E0B"/>
    <w:rsid w:val="00343155"/>
    <w:rsid w:val="0034738E"/>
    <w:rsid w:val="003550BB"/>
    <w:rsid w:val="003555DA"/>
    <w:rsid w:val="003563CE"/>
    <w:rsid w:val="00356D8D"/>
    <w:rsid w:val="0035703C"/>
    <w:rsid w:val="00360086"/>
    <w:rsid w:val="003618CC"/>
    <w:rsid w:val="00361DD8"/>
    <w:rsid w:val="0036203A"/>
    <w:rsid w:val="00363D2C"/>
    <w:rsid w:val="003647EE"/>
    <w:rsid w:val="00364AEE"/>
    <w:rsid w:val="00364BF3"/>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4CD6"/>
    <w:rsid w:val="00396BC2"/>
    <w:rsid w:val="00397D9E"/>
    <w:rsid w:val="00397F23"/>
    <w:rsid w:val="003A20D0"/>
    <w:rsid w:val="003A4B15"/>
    <w:rsid w:val="003A70CC"/>
    <w:rsid w:val="003B08B3"/>
    <w:rsid w:val="003B326C"/>
    <w:rsid w:val="003B3D00"/>
    <w:rsid w:val="003B42C9"/>
    <w:rsid w:val="003C0412"/>
    <w:rsid w:val="003C0D8A"/>
    <w:rsid w:val="003C2F76"/>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3D66"/>
    <w:rsid w:val="003F4488"/>
    <w:rsid w:val="00401493"/>
    <w:rsid w:val="00402320"/>
    <w:rsid w:val="004108C3"/>
    <w:rsid w:val="004109E4"/>
    <w:rsid w:val="00410CD8"/>
    <w:rsid w:val="00413588"/>
    <w:rsid w:val="00413729"/>
    <w:rsid w:val="00414219"/>
    <w:rsid w:val="004151D6"/>
    <w:rsid w:val="0041526D"/>
    <w:rsid w:val="00415AB6"/>
    <w:rsid w:val="0041782C"/>
    <w:rsid w:val="00417C5C"/>
    <w:rsid w:val="004208E0"/>
    <w:rsid w:val="004311B7"/>
    <w:rsid w:val="0043407F"/>
    <w:rsid w:val="004346A0"/>
    <w:rsid w:val="0043621A"/>
    <w:rsid w:val="004369C8"/>
    <w:rsid w:val="00440E67"/>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31FC"/>
    <w:rsid w:val="0047482C"/>
    <w:rsid w:val="004769CF"/>
    <w:rsid w:val="00481948"/>
    <w:rsid w:val="004824CC"/>
    <w:rsid w:val="00484375"/>
    <w:rsid w:val="00485A8B"/>
    <w:rsid w:val="00486272"/>
    <w:rsid w:val="004877CA"/>
    <w:rsid w:val="00491F22"/>
    <w:rsid w:val="004937AE"/>
    <w:rsid w:val="004944AB"/>
    <w:rsid w:val="004A0DD9"/>
    <w:rsid w:val="004A1CD1"/>
    <w:rsid w:val="004A37CD"/>
    <w:rsid w:val="004A4E03"/>
    <w:rsid w:val="004A4FB4"/>
    <w:rsid w:val="004B2A59"/>
    <w:rsid w:val="004B34DD"/>
    <w:rsid w:val="004B4AF4"/>
    <w:rsid w:val="004B5367"/>
    <w:rsid w:val="004B5A0A"/>
    <w:rsid w:val="004B7D11"/>
    <w:rsid w:val="004C1596"/>
    <w:rsid w:val="004C1770"/>
    <w:rsid w:val="004C218E"/>
    <w:rsid w:val="004C315B"/>
    <w:rsid w:val="004C5009"/>
    <w:rsid w:val="004C562C"/>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4F6F13"/>
    <w:rsid w:val="00506E9C"/>
    <w:rsid w:val="005114DC"/>
    <w:rsid w:val="00512B3F"/>
    <w:rsid w:val="00513060"/>
    <w:rsid w:val="00513964"/>
    <w:rsid w:val="00515DA0"/>
    <w:rsid w:val="00516549"/>
    <w:rsid w:val="005175C0"/>
    <w:rsid w:val="00517F62"/>
    <w:rsid w:val="005211CD"/>
    <w:rsid w:val="005228EA"/>
    <w:rsid w:val="005229DE"/>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6F1E"/>
    <w:rsid w:val="0054703E"/>
    <w:rsid w:val="0054734D"/>
    <w:rsid w:val="0055304B"/>
    <w:rsid w:val="00556146"/>
    <w:rsid w:val="0055688C"/>
    <w:rsid w:val="00556C0E"/>
    <w:rsid w:val="00557D80"/>
    <w:rsid w:val="00560486"/>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064E"/>
    <w:rsid w:val="005C6F95"/>
    <w:rsid w:val="005C704C"/>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5B28"/>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174C"/>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84FCF"/>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043"/>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35596"/>
    <w:rsid w:val="00740854"/>
    <w:rsid w:val="007411BE"/>
    <w:rsid w:val="00742AE1"/>
    <w:rsid w:val="00743992"/>
    <w:rsid w:val="007473C9"/>
    <w:rsid w:val="007479D6"/>
    <w:rsid w:val="0075209C"/>
    <w:rsid w:val="007557E2"/>
    <w:rsid w:val="00760377"/>
    <w:rsid w:val="007618FE"/>
    <w:rsid w:val="00763D9D"/>
    <w:rsid w:val="00764078"/>
    <w:rsid w:val="00764BBF"/>
    <w:rsid w:val="00765149"/>
    <w:rsid w:val="00765B62"/>
    <w:rsid w:val="0076611B"/>
    <w:rsid w:val="00770E38"/>
    <w:rsid w:val="007732E6"/>
    <w:rsid w:val="007758D9"/>
    <w:rsid w:val="007761EC"/>
    <w:rsid w:val="007770B0"/>
    <w:rsid w:val="007807DC"/>
    <w:rsid w:val="00780967"/>
    <w:rsid w:val="00781615"/>
    <w:rsid w:val="00782B97"/>
    <w:rsid w:val="00782E35"/>
    <w:rsid w:val="00785627"/>
    <w:rsid w:val="007865DD"/>
    <w:rsid w:val="007866ED"/>
    <w:rsid w:val="007920AE"/>
    <w:rsid w:val="00792F82"/>
    <w:rsid w:val="0079360E"/>
    <w:rsid w:val="0079445C"/>
    <w:rsid w:val="00795965"/>
    <w:rsid w:val="00795D52"/>
    <w:rsid w:val="0079666F"/>
    <w:rsid w:val="00797148"/>
    <w:rsid w:val="007A24D2"/>
    <w:rsid w:val="007A3ABE"/>
    <w:rsid w:val="007A5398"/>
    <w:rsid w:val="007A5578"/>
    <w:rsid w:val="007A6861"/>
    <w:rsid w:val="007A7270"/>
    <w:rsid w:val="007B0DB5"/>
    <w:rsid w:val="007B13FF"/>
    <w:rsid w:val="007B5D63"/>
    <w:rsid w:val="007B651C"/>
    <w:rsid w:val="007C0233"/>
    <w:rsid w:val="007C046F"/>
    <w:rsid w:val="007C0EDD"/>
    <w:rsid w:val="007C0FFE"/>
    <w:rsid w:val="007C2674"/>
    <w:rsid w:val="007C3520"/>
    <w:rsid w:val="007C37EE"/>
    <w:rsid w:val="007C52B2"/>
    <w:rsid w:val="007C5384"/>
    <w:rsid w:val="007C6BB8"/>
    <w:rsid w:val="007D06CE"/>
    <w:rsid w:val="007D0B04"/>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290"/>
    <w:rsid w:val="00804E94"/>
    <w:rsid w:val="00805ACC"/>
    <w:rsid w:val="00811800"/>
    <w:rsid w:val="008134FC"/>
    <w:rsid w:val="00813661"/>
    <w:rsid w:val="00813BFA"/>
    <w:rsid w:val="00816706"/>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1673"/>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48D"/>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387B"/>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06D4"/>
    <w:rsid w:val="0091266A"/>
    <w:rsid w:val="009161BF"/>
    <w:rsid w:val="009162F3"/>
    <w:rsid w:val="0092015A"/>
    <w:rsid w:val="00920F58"/>
    <w:rsid w:val="009227C7"/>
    <w:rsid w:val="009247BD"/>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159B"/>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0D4D"/>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1CA8"/>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0F7"/>
    <w:rsid w:val="00AA6A0C"/>
    <w:rsid w:val="00AB271E"/>
    <w:rsid w:val="00AB275A"/>
    <w:rsid w:val="00AB3943"/>
    <w:rsid w:val="00AB4B9C"/>
    <w:rsid w:val="00AB70E4"/>
    <w:rsid w:val="00AB7DB5"/>
    <w:rsid w:val="00AC00A4"/>
    <w:rsid w:val="00AC0B9D"/>
    <w:rsid w:val="00AC0BD3"/>
    <w:rsid w:val="00AC1089"/>
    <w:rsid w:val="00AC197A"/>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4EFA"/>
    <w:rsid w:val="00B77495"/>
    <w:rsid w:val="00B80455"/>
    <w:rsid w:val="00B80BCC"/>
    <w:rsid w:val="00B812D5"/>
    <w:rsid w:val="00B82382"/>
    <w:rsid w:val="00B829B4"/>
    <w:rsid w:val="00B86244"/>
    <w:rsid w:val="00B875BC"/>
    <w:rsid w:val="00B92EFA"/>
    <w:rsid w:val="00B93747"/>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C23"/>
    <w:rsid w:val="00BC6FB2"/>
    <w:rsid w:val="00BD0EB7"/>
    <w:rsid w:val="00BD1142"/>
    <w:rsid w:val="00BD251A"/>
    <w:rsid w:val="00BD25E6"/>
    <w:rsid w:val="00BD480F"/>
    <w:rsid w:val="00BD63A9"/>
    <w:rsid w:val="00BE07D3"/>
    <w:rsid w:val="00BE19A8"/>
    <w:rsid w:val="00BE2FC3"/>
    <w:rsid w:val="00BE3C6B"/>
    <w:rsid w:val="00BE58EE"/>
    <w:rsid w:val="00BE5CF4"/>
    <w:rsid w:val="00BE5DD9"/>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62CF"/>
    <w:rsid w:val="00C07B34"/>
    <w:rsid w:val="00C10076"/>
    <w:rsid w:val="00C115D7"/>
    <w:rsid w:val="00C155C7"/>
    <w:rsid w:val="00C16274"/>
    <w:rsid w:val="00C16489"/>
    <w:rsid w:val="00C205B1"/>
    <w:rsid w:val="00C22F3F"/>
    <w:rsid w:val="00C23643"/>
    <w:rsid w:val="00C24FE0"/>
    <w:rsid w:val="00C30C6E"/>
    <w:rsid w:val="00C33069"/>
    <w:rsid w:val="00C349F8"/>
    <w:rsid w:val="00C35C98"/>
    <w:rsid w:val="00C40137"/>
    <w:rsid w:val="00C414B2"/>
    <w:rsid w:val="00C46C19"/>
    <w:rsid w:val="00C47126"/>
    <w:rsid w:val="00C47395"/>
    <w:rsid w:val="00C50871"/>
    <w:rsid w:val="00C515A5"/>
    <w:rsid w:val="00C51EDE"/>
    <w:rsid w:val="00C54F7F"/>
    <w:rsid w:val="00C5606D"/>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86D94"/>
    <w:rsid w:val="00C918C0"/>
    <w:rsid w:val="00C946EA"/>
    <w:rsid w:val="00C94E80"/>
    <w:rsid w:val="00C959E8"/>
    <w:rsid w:val="00C96911"/>
    <w:rsid w:val="00CA3AE9"/>
    <w:rsid w:val="00CA46B3"/>
    <w:rsid w:val="00CA4745"/>
    <w:rsid w:val="00CA4E6B"/>
    <w:rsid w:val="00CA5BE2"/>
    <w:rsid w:val="00CB13E5"/>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1AA3"/>
    <w:rsid w:val="00CE5857"/>
    <w:rsid w:val="00CF0299"/>
    <w:rsid w:val="00CF04ED"/>
    <w:rsid w:val="00CF261E"/>
    <w:rsid w:val="00CF5EEE"/>
    <w:rsid w:val="00CF68F3"/>
    <w:rsid w:val="00CF7165"/>
    <w:rsid w:val="00D001AC"/>
    <w:rsid w:val="00D008FB"/>
    <w:rsid w:val="00D01071"/>
    <w:rsid w:val="00D0165C"/>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2E3D"/>
    <w:rsid w:val="00D23310"/>
    <w:rsid w:val="00D23555"/>
    <w:rsid w:val="00D2449B"/>
    <w:rsid w:val="00D25D68"/>
    <w:rsid w:val="00D26D7E"/>
    <w:rsid w:val="00D30934"/>
    <w:rsid w:val="00D318BD"/>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3CA"/>
    <w:rsid w:val="00D85DE7"/>
    <w:rsid w:val="00D87E27"/>
    <w:rsid w:val="00D9021F"/>
    <w:rsid w:val="00D91FC7"/>
    <w:rsid w:val="00D93F60"/>
    <w:rsid w:val="00D94792"/>
    <w:rsid w:val="00D94AC3"/>
    <w:rsid w:val="00D94E1F"/>
    <w:rsid w:val="00D9702B"/>
    <w:rsid w:val="00DA1DBB"/>
    <w:rsid w:val="00DA2530"/>
    <w:rsid w:val="00DA4410"/>
    <w:rsid w:val="00DA499E"/>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3C4E"/>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0C09"/>
    <w:rsid w:val="00E21B15"/>
    <w:rsid w:val="00E22258"/>
    <w:rsid w:val="00E22700"/>
    <w:rsid w:val="00E25191"/>
    <w:rsid w:val="00E2603C"/>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47BF0"/>
    <w:rsid w:val="00E507CB"/>
    <w:rsid w:val="00E5448C"/>
    <w:rsid w:val="00E56630"/>
    <w:rsid w:val="00E61FA8"/>
    <w:rsid w:val="00E6276E"/>
    <w:rsid w:val="00E638A9"/>
    <w:rsid w:val="00E65FA7"/>
    <w:rsid w:val="00E66046"/>
    <w:rsid w:val="00E66CD8"/>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2AA"/>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37203"/>
    <w:rsid w:val="00F4162C"/>
    <w:rsid w:val="00F41C16"/>
    <w:rsid w:val="00F4420D"/>
    <w:rsid w:val="00F44A35"/>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92DCE"/>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2ADF"/>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15982"/>
  <w15:docId w15:val="{9B57FE7C-4B94-4D98-8583-3D1CE4DF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parrafo">
    <w:name w:val="parrafo"/>
    <w:basedOn w:val="Normal"/>
    <w:rsid w:val="00417C5C"/>
    <w:pPr>
      <w:spacing w:before="100" w:beforeAutospacing="1" w:after="100" w:afterAutospacing="1"/>
    </w:pPr>
    <w:rPr>
      <w:lang w:val="es-PE" w:eastAsia="es-PE"/>
    </w:rPr>
  </w:style>
  <w:style w:type="paragraph" w:customStyle="1" w:styleId="yiv2390448409msonormal">
    <w:name w:val="yiv2390448409msonormal"/>
    <w:basedOn w:val="Normal"/>
    <w:rsid w:val="00CE1AA3"/>
    <w:pPr>
      <w:spacing w:before="100" w:beforeAutospacing="1" w:after="100" w:afterAutospacing="1"/>
    </w:pPr>
    <w:rPr>
      <w:lang w:val="es-PE" w:eastAsia="es-PE"/>
    </w:rPr>
  </w:style>
  <w:style w:type="paragraph" w:styleId="Textocomentario">
    <w:name w:val="annotation text"/>
    <w:basedOn w:val="Normal"/>
    <w:link w:val="TextocomentarioCar"/>
    <w:uiPriority w:val="99"/>
    <w:semiHidden/>
    <w:unhideWhenUsed/>
    <w:rsid w:val="00204B79"/>
    <w:pPr>
      <w:spacing w:after="16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204B7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75771030">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96430287">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0352664">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3E8D-A7BF-4F2F-A794-01B9B2F1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2018-09-26T15:06:00Z</cp:lastPrinted>
  <dcterms:created xsi:type="dcterms:W3CDTF">2018-11-06T18:32:00Z</dcterms:created>
  <dcterms:modified xsi:type="dcterms:W3CDTF">2018-11-06T18:32:00Z</dcterms:modified>
</cp:coreProperties>
</file>