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59B4A17D" w:rsidR="00AC6F83" w:rsidRDefault="003C4D0F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D26635">
        <w:rPr>
          <w:rFonts w:ascii="Bookman Old Style" w:hAnsi="Bookman Old Style" w:cs="Arial"/>
          <w:b/>
          <w:sz w:val="24"/>
          <w:szCs w:val="24"/>
        </w:rPr>
        <w:t xml:space="preserve"> PRIMERA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186423A9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proofErr w:type="gramStart"/>
      <w:r>
        <w:rPr>
          <w:rFonts w:ascii="Bookman Old Style" w:hAnsi="Bookman Old Style" w:cs="Arial"/>
        </w:rPr>
        <w:t>Miércoles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3E0D03">
        <w:rPr>
          <w:rFonts w:ascii="Bookman Old Style" w:hAnsi="Bookman Old Style" w:cs="Arial"/>
        </w:rPr>
        <w:t>2</w:t>
      </w:r>
      <w:r>
        <w:rPr>
          <w:rFonts w:ascii="Bookman Old Style" w:hAnsi="Bookman Old Style" w:cs="Arial"/>
        </w:rPr>
        <w:t>1 de diciembre de 2022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6A526063" w14:textId="467F3EA4" w:rsidR="00FE68DB" w:rsidRDefault="00FE68DB" w:rsidP="00FE68DB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Tercera Sesión Extraordinaria, realizada el 22 de noviembre de 2022.</w:t>
      </w:r>
    </w:p>
    <w:p w14:paraId="24157EC7" w14:textId="2EFA8C39" w:rsidR="004E513F" w:rsidRDefault="004E513F" w:rsidP="004E513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D26635">
        <w:rPr>
          <w:rFonts w:ascii="Bookman Old Style" w:hAnsi="Bookman Old Style" w:cs="Arial"/>
        </w:rPr>
        <w:t>Décima</w:t>
      </w:r>
      <w:r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 w:rsidR="00D26635">
        <w:rPr>
          <w:rFonts w:ascii="Bookman Old Style" w:hAnsi="Bookman Old Style" w:cs="Arial"/>
        </w:rPr>
        <w:t>23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noviembre</w:t>
      </w:r>
      <w:r w:rsidRPr="0095229F">
        <w:rPr>
          <w:rFonts w:ascii="Bookman Old Style" w:hAnsi="Bookman Old Style" w:cs="Arial"/>
        </w:rPr>
        <w:t xml:space="preserve"> de 202</w:t>
      </w:r>
      <w:r>
        <w:rPr>
          <w:rFonts w:ascii="Bookman Old Style" w:hAnsi="Bookman Old Style" w:cs="Arial"/>
        </w:rPr>
        <w:t>2.</w:t>
      </w:r>
    </w:p>
    <w:p w14:paraId="7AA54CD3" w14:textId="0ABEC958" w:rsidR="005244D6" w:rsidRDefault="005244D6" w:rsidP="004E513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Cuarta Sesión Extraordinaria, realizada el 28 de noviembre de 2022.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74EBBBA6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D26635">
        <w:rPr>
          <w:rFonts w:ascii="Bookman Old Style" w:hAnsi="Bookman Old Style" w:cs="Arial"/>
        </w:rPr>
        <w:t>22</w:t>
      </w:r>
      <w:r w:rsidR="00612C6E">
        <w:rPr>
          <w:rFonts w:ascii="Bookman Old Style" w:hAnsi="Bookman Old Style" w:cs="Arial"/>
        </w:rPr>
        <w:t xml:space="preserve"> </w:t>
      </w:r>
      <w:r w:rsidR="00F71870">
        <w:rPr>
          <w:rFonts w:ascii="Bookman Old Style" w:hAnsi="Bookman Old Style" w:cs="Arial"/>
        </w:rPr>
        <w:t xml:space="preserve">de </w:t>
      </w:r>
      <w:r w:rsidR="00552161">
        <w:rPr>
          <w:rFonts w:ascii="Bookman Old Style" w:hAnsi="Bookman Old Style" w:cs="Arial"/>
        </w:rPr>
        <w:t>noviembre</w:t>
      </w:r>
      <w:r w:rsidR="00F71870">
        <w:rPr>
          <w:rFonts w:ascii="Bookman Old Style" w:hAnsi="Bookman Old Style" w:cs="Arial"/>
        </w:rPr>
        <w:t xml:space="preserve"> </w:t>
      </w:r>
      <w:r w:rsidR="005244D6">
        <w:rPr>
          <w:rFonts w:ascii="Bookman Old Style" w:hAnsi="Bookman Old Style" w:cs="Arial"/>
        </w:rPr>
        <w:t>al 1</w:t>
      </w:r>
      <w:r w:rsidR="00520374">
        <w:rPr>
          <w:rFonts w:ascii="Bookman Old Style" w:hAnsi="Bookman Old Style" w:cs="Arial"/>
        </w:rPr>
        <w:t>9</w:t>
      </w:r>
      <w:r w:rsidR="005244D6">
        <w:rPr>
          <w:rFonts w:ascii="Bookman Old Style" w:hAnsi="Bookman Old Style" w:cs="Arial"/>
        </w:rPr>
        <w:t xml:space="preserve"> de diciembre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72308101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D26635">
        <w:rPr>
          <w:rFonts w:ascii="Bookman Old Style" w:hAnsi="Bookman Old Style" w:cs="Arial"/>
        </w:rPr>
        <w:t>22</w:t>
      </w:r>
      <w:r w:rsidR="00552161">
        <w:rPr>
          <w:rFonts w:ascii="Bookman Old Style" w:hAnsi="Bookman Old Style" w:cs="Arial"/>
        </w:rPr>
        <w:t xml:space="preserve"> de noviembre</w:t>
      </w:r>
      <w:r w:rsidR="00C15465">
        <w:rPr>
          <w:rFonts w:ascii="Bookman Old Style" w:hAnsi="Bookman Old Style" w:cs="Arial"/>
        </w:rPr>
        <w:t xml:space="preserve"> </w:t>
      </w:r>
      <w:r w:rsidR="005244D6">
        <w:rPr>
          <w:rFonts w:ascii="Bookman Old Style" w:hAnsi="Bookman Old Style" w:cs="Arial"/>
        </w:rPr>
        <w:t>al 1</w:t>
      </w:r>
      <w:r w:rsidR="00520374">
        <w:rPr>
          <w:rFonts w:ascii="Bookman Old Style" w:hAnsi="Bookman Old Style" w:cs="Arial"/>
        </w:rPr>
        <w:t>9</w:t>
      </w:r>
      <w:r w:rsidR="005244D6">
        <w:rPr>
          <w:rFonts w:ascii="Bookman Old Style" w:hAnsi="Bookman Old Style" w:cs="Arial"/>
        </w:rPr>
        <w:t xml:space="preserve"> de diciembre </w:t>
      </w:r>
      <w:r w:rsidR="00C15465" w:rsidRPr="6AAAE291">
        <w:rPr>
          <w:rFonts w:ascii="Bookman Old Style" w:hAnsi="Bookman Old Style" w:cs="Arial"/>
        </w:rPr>
        <w:t>de 202</w:t>
      </w:r>
      <w:r w:rsidR="00C15465">
        <w:rPr>
          <w:rFonts w:ascii="Bookman Old Style" w:hAnsi="Bookman Old Style" w:cs="Arial"/>
        </w:rPr>
        <w:t>2</w:t>
      </w:r>
      <w:r w:rsidR="00C15465" w:rsidRPr="6AAAE291">
        <w:rPr>
          <w:rFonts w:ascii="Bookman Old Style" w:hAnsi="Bookman Old Style" w:cs="Arial"/>
        </w:rPr>
        <w:t>.</w:t>
      </w:r>
    </w:p>
    <w:p w14:paraId="61961763" w14:textId="77777777" w:rsidR="00827A0C" w:rsidRDefault="00827A0C" w:rsidP="00827A0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560C1CDC" w14:textId="77777777" w:rsidR="00827A0C" w:rsidRDefault="00827A0C" w:rsidP="00827A0C">
      <w:pPr>
        <w:pStyle w:val="Prrafodelista"/>
        <w:spacing w:after="0" w:line="240" w:lineRule="auto"/>
        <w:ind w:left="408"/>
        <w:contextualSpacing/>
        <w:rPr>
          <w:rFonts w:ascii="Bookman Old Style" w:hAnsi="Bookman Old Style" w:cs="Arial"/>
        </w:rPr>
      </w:pPr>
    </w:p>
    <w:p w14:paraId="29BC1358" w14:textId="5612395A" w:rsidR="00827A0C" w:rsidRDefault="00827A0C" w:rsidP="00827A0C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 w:rsidR="00787EA2">
        <w:rPr>
          <w:rFonts w:ascii="Bookman Old Style" w:hAnsi="Bookman Old Style" w:cs="Arial"/>
          <w:b/>
        </w:rPr>
        <w:t>3584</w:t>
      </w:r>
      <w:r w:rsidRPr="00612C6E">
        <w:rPr>
          <w:rFonts w:ascii="Bookman Old Style" w:hAnsi="Bookman Old Style" w:cs="Arial"/>
          <w:b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="00787EA2" w:rsidRPr="00787EA2">
        <w:rPr>
          <w:rFonts w:ascii="Bookman Old Style" w:hAnsi="Bookman Old Style" w:cs="Arial"/>
        </w:rPr>
        <w:t>declarar de interés nacional y necesidad pública, la creación de la asociación de comunidades nativas encargada de cuidar y preservar la infraestructura del oleoducto norperuano</w:t>
      </w:r>
      <w:r w:rsidRPr="00552161">
        <w:rPr>
          <w:rFonts w:ascii="Bookman Old Style" w:hAnsi="Bookman Old Style" w:cs="Arial"/>
        </w:rPr>
        <w:t>.</w:t>
      </w:r>
    </w:p>
    <w:p w14:paraId="18583DB1" w14:textId="687E4927" w:rsidR="00827A0C" w:rsidRDefault="00827A0C" w:rsidP="00827A0C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>Proyecto de Ley 3</w:t>
      </w:r>
      <w:r w:rsidR="00787EA2">
        <w:rPr>
          <w:rFonts w:ascii="Bookman Old Style" w:hAnsi="Bookman Old Style" w:cs="Arial"/>
          <w:b/>
        </w:rPr>
        <w:t>59</w:t>
      </w:r>
      <w:r>
        <w:rPr>
          <w:rFonts w:ascii="Bookman Old Style" w:hAnsi="Bookman Old Style" w:cs="Arial"/>
          <w:b/>
        </w:rPr>
        <w:t>7</w:t>
      </w:r>
      <w:r w:rsidRPr="00612C6E">
        <w:rPr>
          <w:rFonts w:ascii="Bookman Old Style" w:hAnsi="Bookman Old Style" w:cs="Arial"/>
          <w:b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="00787EA2" w:rsidRPr="00787EA2">
        <w:rPr>
          <w:rFonts w:ascii="Bookman Old Style" w:hAnsi="Bookman Old Style" w:cs="Arial"/>
        </w:rPr>
        <w:t xml:space="preserve">exceptuar a la provincia de </w:t>
      </w:r>
      <w:r w:rsidR="00787EA2">
        <w:rPr>
          <w:rFonts w:ascii="Bookman Old Style" w:hAnsi="Bookman Old Style" w:cs="Arial"/>
        </w:rPr>
        <w:t>T</w:t>
      </w:r>
      <w:r w:rsidR="00787EA2" w:rsidRPr="00787EA2">
        <w:rPr>
          <w:rFonts w:ascii="Bookman Old Style" w:hAnsi="Bookman Old Style" w:cs="Arial"/>
        </w:rPr>
        <w:t xml:space="preserve">ahuamanu de los alcances del </w:t>
      </w:r>
      <w:r w:rsidR="00787EA2">
        <w:rPr>
          <w:rFonts w:ascii="Bookman Old Style" w:hAnsi="Bookman Old Style" w:cs="Arial"/>
        </w:rPr>
        <w:t>D</w:t>
      </w:r>
      <w:r w:rsidR="00787EA2" w:rsidRPr="00787EA2">
        <w:rPr>
          <w:rFonts w:ascii="Bookman Old Style" w:hAnsi="Bookman Old Style" w:cs="Arial"/>
        </w:rPr>
        <w:t xml:space="preserve">ecreto </w:t>
      </w:r>
      <w:r w:rsidR="00787EA2">
        <w:rPr>
          <w:rFonts w:ascii="Bookman Old Style" w:hAnsi="Bookman Old Style" w:cs="Arial"/>
        </w:rPr>
        <w:t>S</w:t>
      </w:r>
      <w:r w:rsidR="00787EA2" w:rsidRPr="00787EA2">
        <w:rPr>
          <w:rFonts w:ascii="Bookman Old Style" w:hAnsi="Bookman Old Style" w:cs="Arial"/>
        </w:rPr>
        <w:t>upremo 012-2017-</w:t>
      </w:r>
      <w:r w:rsidR="00787EA2">
        <w:rPr>
          <w:rFonts w:ascii="Bookman Old Style" w:hAnsi="Bookman Old Style" w:cs="Arial"/>
        </w:rPr>
        <w:t>EM</w:t>
      </w:r>
      <w:r w:rsidR="00787EA2" w:rsidRPr="00787EA2">
        <w:rPr>
          <w:rFonts w:ascii="Bookman Old Style" w:hAnsi="Bookman Old Style" w:cs="Arial"/>
        </w:rPr>
        <w:t xml:space="preserve">, que dictan medidas para la atención de las solicitudes de inscripción en el </w:t>
      </w:r>
      <w:r w:rsidR="00787EA2">
        <w:rPr>
          <w:rFonts w:ascii="Bookman Old Style" w:hAnsi="Bookman Old Style" w:cs="Arial"/>
        </w:rPr>
        <w:t>R</w:t>
      </w:r>
      <w:r w:rsidR="00787EA2" w:rsidRPr="00787EA2">
        <w:rPr>
          <w:rFonts w:ascii="Bookman Old Style" w:hAnsi="Bookman Old Style" w:cs="Arial"/>
        </w:rPr>
        <w:t xml:space="preserve">egistro de </w:t>
      </w:r>
      <w:r w:rsidR="00787EA2">
        <w:rPr>
          <w:rFonts w:ascii="Bookman Old Style" w:hAnsi="Bookman Old Style" w:cs="Arial"/>
        </w:rPr>
        <w:t>H</w:t>
      </w:r>
      <w:r w:rsidR="00787EA2" w:rsidRPr="00787EA2">
        <w:rPr>
          <w:rFonts w:ascii="Bookman Old Style" w:hAnsi="Bookman Old Style" w:cs="Arial"/>
        </w:rPr>
        <w:t>idrocarburos, así como de los informes técnicos favorables (</w:t>
      </w:r>
      <w:r w:rsidR="00787EA2">
        <w:rPr>
          <w:rFonts w:ascii="Bookman Old Style" w:hAnsi="Bookman Old Style" w:cs="Arial"/>
        </w:rPr>
        <w:t>ITF</w:t>
      </w:r>
      <w:r w:rsidR="00787EA2" w:rsidRPr="00787EA2">
        <w:rPr>
          <w:rFonts w:ascii="Bookman Old Style" w:hAnsi="Bookman Old Style" w:cs="Arial"/>
        </w:rPr>
        <w:t xml:space="preserve">) para los establecimientos de venta al público de combustibles, en el departamento de </w:t>
      </w:r>
      <w:r w:rsidR="00787EA2">
        <w:rPr>
          <w:rFonts w:ascii="Bookman Old Style" w:hAnsi="Bookman Old Style" w:cs="Arial"/>
        </w:rPr>
        <w:t>M</w:t>
      </w:r>
      <w:r w:rsidR="00787EA2" w:rsidRPr="00787EA2">
        <w:rPr>
          <w:rFonts w:ascii="Bookman Old Style" w:hAnsi="Bookman Old Style" w:cs="Arial"/>
        </w:rPr>
        <w:t xml:space="preserve">adre de </w:t>
      </w:r>
      <w:r w:rsidR="00787EA2">
        <w:rPr>
          <w:rFonts w:ascii="Bookman Old Style" w:hAnsi="Bookman Old Style" w:cs="Arial"/>
        </w:rPr>
        <w:t>D</w:t>
      </w:r>
      <w:r w:rsidR="00787EA2" w:rsidRPr="00787EA2">
        <w:rPr>
          <w:rFonts w:ascii="Bookman Old Style" w:hAnsi="Bookman Old Style" w:cs="Arial"/>
        </w:rPr>
        <w:t>ios y zonas aledañas</w:t>
      </w:r>
      <w:r w:rsidRPr="00552161">
        <w:rPr>
          <w:rFonts w:ascii="Bookman Old Style" w:hAnsi="Bookman Old Style" w:cs="Arial"/>
        </w:rPr>
        <w:t>.</w:t>
      </w:r>
    </w:p>
    <w:p w14:paraId="77F67AE0" w14:textId="2FDEB0E7" w:rsidR="00787EA2" w:rsidRDefault="00787EA2" w:rsidP="00787EA2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3599</w:t>
      </w:r>
      <w:r w:rsidRPr="00612C6E">
        <w:rPr>
          <w:rFonts w:ascii="Bookman Old Style" w:hAnsi="Bookman Old Style" w:cs="Arial"/>
          <w:b/>
        </w:rPr>
        <w:t>/2022-</w:t>
      </w:r>
      <w:r>
        <w:rPr>
          <w:rFonts w:ascii="Bookman Old Style" w:hAnsi="Bookman Old Style" w:cs="Arial"/>
          <w:b/>
        </w:rPr>
        <w:t>PE</w:t>
      </w:r>
      <w:r>
        <w:rPr>
          <w:rFonts w:ascii="Bookman Old Style" w:hAnsi="Bookman Old Style" w:cs="Arial"/>
        </w:rPr>
        <w:t>, mediante el cual se propone L</w:t>
      </w:r>
      <w:r w:rsidRPr="00787EA2">
        <w:rPr>
          <w:rFonts w:ascii="Bookman Old Style" w:hAnsi="Bookman Old Style" w:cs="Arial"/>
        </w:rPr>
        <w:t>ey que promueve la contratación preferente de personal o empresa, local y/o regional, para el desarrollo de actividades económicas circunscritas al transporte de mercancías y transporte de trabajadores</w:t>
      </w:r>
      <w:r w:rsidRPr="00552161">
        <w:rPr>
          <w:rFonts w:ascii="Bookman Old Style" w:hAnsi="Bookman Old Style" w:cs="Arial"/>
        </w:rPr>
        <w:t>.</w:t>
      </w:r>
    </w:p>
    <w:p w14:paraId="6BC7C0ED" w14:textId="4DE1D554" w:rsidR="00AF4273" w:rsidRDefault="00AF4273" w:rsidP="00AF4273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3609</w:t>
      </w:r>
      <w:r w:rsidRPr="00612C6E">
        <w:rPr>
          <w:rFonts w:ascii="Bookman Old Style" w:hAnsi="Bookman Old Style" w:cs="Arial"/>
          <w:b/>
        </w:rPr>
        <w:t>/2022-</w:t>
      </w:r>
      <w:r>
        <w:rPr>
          <w:rFonts w:ascii="Bookman Old Style" w:hAnsi="Bookman Old Style" w:cs="Arial"/>
          <w:b/>
        </w:rPr>
        <w:t>CR</w:t>
      </w:r>
      <w:r>
        <w:rPr>
          <w:rFonts w:ascii="Bookman Old Style" w:hAnsi="Bookman Old Style" w:cs="Arial"/>
        </w:rPr>
        <w:t xml:space="preserve">, mediante el cual se propone </w:t>
      </w:r>
      <w:r w:rsidRPr="00AF4273">
        <w:rPr>
          <w:rFonts w:ascii="Bookman Old Style" w:hAnsi="Bookman Old Style" w:cs="Arial"/>
        </w:rPr>
        <w:t>promover la transformación de relaves mineros en materiales de construcción</w:t>
      </w:r>
      <w:r w:rsidRPr="00A00CD7">
        <w:rPr>
          <w:rFonts w:ascii="Bookman Old Style" w:hAnsi="Bookman Old Style" w:cs="Arial"/>
        </w:rPr>
        <w:t>.</w:t>
      </w:r>
    </w:p>
    <w:p w14:paraId="49BC24BA" w14:textId="3E8BEF36" w:rsidR="000C520E" w:rsidRDefault="000C520E" w:rsidP="000C520E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lastRenderedPageBreak/>
        <w:t xml:space="preserve">Proyecto de Ley </w:t>
      </w:r>
      <w:r>
        <w:rPr>
          <w:rFonts w:ascii="Bookman Old Style" w:hAnsi="Bookman Old Style" w:cs="Arial"/>
          <w:b/>
        </w:rPr>
        <w:t>3611</w:t>
      </w:r>
      <w:r w:rsidRPr="00612C6E">
        <w:rPr>
          <w:rFonts w:ascii="Bookman Old Style" w:hAnsi="Bookman Old Style" w:cs="Arial"/>
          <w:b/>
        </w:rPr>
        <w:t>/2022-</w:t>
      </w:r>
      <w:r>
        <w:rPr>
          <w:rFonts w:ascii="Bookman Old Style" w:hAnsi="Bookman Old Style" w:cs="Arial"/>
          <w:b/>
        </w:rPr>
        <w:t>CR</w:t>
      </w:r>
      <w:r>
        <w:rPr>
          <w:rFonts w:ascii="Bookman Old Style" w:hAnsi="Bookman Old Style" w:cs="Arial"/>
        </w:rPr>
        <w:t xml:space="preserve">, mediante el cual se propone </w:t>
      </w:r>
      <w:r w:rsidRPr="000C520E">
        <w:rPr>
          <w:rFonts w:ascii="Bookman Old Style" w:hAnsi="Bookman Old Style" w:cs="Arial"/>
        </w:rPr>
        <w:t>fortalecer la transparencia y fiscalización de la gestión de pasivos ambientales</w:t>
      </w:r>
      <w:r w:rsidRPr="00A00CD7">
        <w:rPr>
          <w:rFonts w:ascii="Bookman Old Style" w:hAnsi="Bookman Old Style" w:cs="Arial"/>
        </w:rPr>
        <w:t>.</w:t>
      </w:r>
    </w:p>
    <w:p w14:paraId="4A054BD9" w14:textId="3209A4BD" w:rsidR="00493EAE" w:rsidRDefault="00493EAE" w:rsidP="00493EAE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3619</w:t>
      </w:r>
      <w:r w:rsidRPr="00612C6E">
        <w:rPr>
          <w:rFonts w:ascii="Bookman Old Style" w:hAnsi="Bookman Old Style" w:cs="Arial"/>
          <w:b/>
        </w:rPr>
        <w:t>/2022-</w:t>
      </w:r>
      <w:r>
        <w:rPr>
          <w:rFonts w:ascii="Bookman Old Style" w:hAnsi="Bookman Old Style" w:cs="Arial"/>
          <w:b/>
        </w:rPr>
        <w:t>CR</w:t>
      </w:r>
      <w:r>
        <w:rPr>
          <w:rFonts w:ascii="Bookman Old Style" w:hAnsi="Bookman Old Style" w:cs="Arial"/>
        </w:rPr>
        <w:t xml:space="preserve">, mediante el cual se propone </w:t>
      </w:r>
      <w:r w:rsidRPr="00493EAE">
        <w:rPr>
          <w:rFonts w:ascii="Bookman Old Style" w:hAnsi="Bookman Old Style" w:cs="Arial"/>
        </w:rPr>
        <w:t>establecer la tarifa eléctrica plana para las MYPES y MIPYMES para elegir entre la condición de usuarios libres o usuarios regulados</w:t>
      </w:r>
      <w:r w:rsidRPr="00A00CD7">
        <w:rPr>
          <w:rFonts w:ascii="Bookman Old Style" w:hAnsi="Bookman Old Style" w:cs="Arial"/>
        </w:rPr>
        <w:t>.</w:t>
      </w:r>
    </w:p>
    <w:p w14:paraId="0D354CF0" w14:textId="5D1B7E8E" w:rsidR="00A00CD7" w:rsidRDefault="00A00CD7" w:rsidP="00787EA2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</w:t>
      </w:r>
      <w:r w:rsidR="00E70D1F">
        <w:rPr>
          <w:rFonts w:ascii="Bookman Old Style" w:hAnsi="Bookman Old Style" w:cs="Arial"/>
          <w:b/>
        </w:rPr>
        <w:t>6</w:t>
      </w:r>
      <w:r>
        <w:rPr>
          <w:rFonts w:ascii="Bookman Old Style" w:hAnsi="Bookman Old Style" w:cs="Arial"/>
          <w:b/>
        </w:rPr>
        <w:t>21</w:t>
      </w:r>
      <w:r w:rsidRPr="00612C6E">
        <w:rPr>
          <w:rFonts w:ascii="Bookman Old Style" w:hAnsi="Bookman Old Style" w:cs="Arial"/>
          <w:b/>
        </w:rPr>
        <w:t>/2022-</w:t>
      </w:r>
      <w:r>
        <w:rPr>
          <w:rFonts w:ascii="Bookman Old Style" w:hAnsi="Bookman Old Style" w:cs="Arial"/>
          <w:b/>
        </w:rPr>
        <w:t>CR</w:t>
      </w:r>
      <w:r>
        <w:rPr>
          <w:rFonts w:ascii="Bookman Old Style" w:hAnsi="Bookman Old Style" w:cs="Arial"/>
        </w:rPr>
        <w:t xml:space="preserve">, mediante el cual se propone </w:t>
      </w:r>
      <w:r w:rsidRPr="00A00CD7">
        <w:rPr>
          <w:rFonts w:ascii="Bookman Old Style" w:hAnsi="Bookman Old Style" w:cs="Arial"/>
        </w:rPr>
        <w:t>impulsar la formalización de la pequeña minería y minería artesanal, estableciendo nuevo plazo de inscripción en el Registro Integral de Formalización minera (REINFO).</w:t>
      </w:r>
    </w:p>
    <w:p w14:paraId="57893478" w14:textId="157F985B" w:rsidR="00943BCF" w:rsidRDefault="00943BCF" w:rsidP="00943BCF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</w:t>
      </w:r>
      <w:r w:rsidR="00E70D1F">
        <w:rPr>
          <w:rFonts w:ascii="Bookman Old Style" w:hAnsi="Bookman Old Style" w:cs="Arial"/>
          <w:b/>
        </w:rPr>
        <w:t>6</w:t>
      </w:r>
      <w:r>
        <w:rPr>
          <w:rFonts w:ascii="Bookman Old Style" w:hAnsi="Bookman Old Style" w:cs="Arial"/>
          <w:b/>
        </w:rPr>
        <w:t>22</w:t>
      </w:r>
      <w:r w:rsidRPr="00612C6E">
        <w:rPr>
          <w:rFonts w:ascii="Bookman Old Style" w:hAnsi="Bookman Old Style" w:cs="Arial"/>
          <w:b/>
        </w:rPr>
        <w:t>/2022-</w:t>
      </w:r>
      <w:r>
        <w:rPr>
          <w:rFonts w:ascii="Bookman Old Style" w:hAnsi="Bookman Old Style" w:cs="Arial"/>
          <w:b/>
        </w:rPr>
        <w:t>CR</w:t>
      </w:r>
      <w:r>
        <w:rPr>
          <w:rFonts w:ascii="Bookman Old Style" w:hAnsi="Bookman Old Style" w:cs="Arial"/>
        </w:rPr>
        <w:t xml:space="preserve">, mediante el cual se propone </w:t>
      </w:r>
      <w:r w:rsidRPr="00943BCF">
        <w:rPr>
          <w:rFonts w:ascii="Bookman Old Style" w:hAnsi="Bookman Old Style" w:cs="Arial"/>
        </w:rPr>
        <w:t>modificar la Ley 28749, Ley general de electrificación rural, a fin de incorporar el concepto de actividades económicas productivas relacionadas con la electrificación rural</w:t>
      </w:r>
      <w:r w:rsidRPr="00552161">
        <w:rPr>
          <w:rFonts w:ascii="Bookman Old Style" w:hAnsi="Bookman Old Style" w:cs="Arial"/>
        </w:rPr>
        <w:t>.</w:t>
      </w:r>
    </w:p>
    <w:p w14:paraId="7CA16AC0" w14:textId="3C7274D6" w:rsidR="00943BCF" w:rsidRDefault="00874492" w:rsidP="00787EA2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3634</w:t>
      </w:r>
      <w:r w:rsidRPr="00612C6E">
        <w:rPr>
          <w:rFonts w:ascii="Bookman Old Style" w:hAnsi="Bookman Old Style" w:cs="Arial"/>
          <w:b/>
        </w:rPr>
        <w:t>/2022-</w:t>
      </w:r>
      <w:r>
        <w:rPr>
          <w:rFonts w:ascii="Bookman Old Style" w:hAnsi="Bookman Old Style" w:cs="Arial"/>
          <w:b/>
        </w:rPr>
        <w:t>CR</w:t>
      </w:r>
      <w:r>
        <w:rPr>
          <w:rFonts w:ascii="Bookman Old Style" w:hAnsi="Bookman Old Style" w:cs="Arial"/>
        </w:rPr>
        <w:t xml:space="preserve">, mediante el cual se propone la </w:t>
      </w:r>
      <w:r w:rsidRPr="00874492">
        <w:rPr>
          <w:rFonts w:ascii="Bookman Old Style" w:hAnsi="Bookman Old Style" w:cs="Arial"/>
        </w:rPr>
        <w:t>Ley de la Minería a Pequeña Escala — MAPE</w:t>
      </w:r>
      <w:r>
        <w:rPr>
          <w:rFonts w:ascii="Bookman Old Style" w:hAnsi="Bookman Old Style" w:cs="Arial"/>
        </w:rPr>
        <w:t>.</w:t>
      </w:r>
    </w:p>
    <w:p w14:paraId="5DB29EE4" w14:textId="7E40D249" w:rsidR="00885A45" w:rsidRDefault="00885A45" w:rsidP="00885A45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3662</w:t>
      </w:r>
      <w:r w:rsidRPr="00612C6E">
        <w:rPr>
          <w:rFonts w:ascii="Bookman Old Style" w:hAnsi="Bookman Old Style" w:cs="Arial"/>
          <w:b/>
        </w:rPr>
        <w:t>/2022-</w:t>
      </w:r>
      <w:r>
        <w:rPr>
          <w:rFonts w:ascii="Bookman Old Style" w:hAnsi="Bookman Old Style" w:cs="Arial"/>
          <w:b/>
        </w:rPr>
        <w:t>CR</w:t>
      </w:r>
      <w:r>
        <w:rPr>
          <w:rFonts w:ascii="Bookman Old Style" w:hAnsi="Bookman Old Style" w:cs="Arial"/>
        </w:rPr>
        <w:t xml:space="preserve">, mediante el cual se propone la </w:t>
      </w:r>
      <w:r w:rsidRPr="00885A45">
        <w:rPr>
          <w:rFonts w:ascii="Bookman Old Style" w:hAnsi="Bookman Old Style" w:cs="Arial"/>
        </w:rPr>
        <w:t>Ley que promueve la inversión en proyectos de generación eléctrica con recursos energéticos renovables; diversifica la matriz energética y fortalece la planificación energética para el desarrollo nacional</w:t>
      </w:r>
      <w:r>
        <w:rPr>
          <w:rFonts w:ascii="Bookman Old Style" w:hAnsi="Bookman Old Style" w:cs="Arial"/>
        </w:rPr>
        <w:t>.</w:t>
      </w:r>
    </w:p>
    <w:p w14:paraId="17D02D76" w14:textId="01C0571E" w:rsidR="00BA01D5" w:rsidRDefault="00BA01D5" w:rsidP="00885A45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3714</w:t>
      </w:r>
      <w:r w:rsidRPr="00612C6E">
        <w:rPr>
          <w:rFonts w:ascii="Bookman Old Style" w:hAnsi="Bookman Old Style" w:cs="Arial"/>
          <w:b/>
        </w:rPr>
        <w:t>/2022-</w:t>
      </w:r>
      <w:r>
        <w:rPr>
          <w:rFonts w:ascii="Bookman Old Style" w:hAnsi="Bookman Old Style" w:cs="Arial"/>
          <w:b/>
        </w:rPr>
        <w:t>CR</w:t>
      </w:r>
      <w:r>
        <w:rPr>
          <w:rFonts w:ascii="Bookman Old Style" w:hAnsi="Bookman Old Style" w:cs="Arial"/>
        </w:rPr>
        <w:t xml:space="preserve">, mediante el cual se propone </w:t>
      </w:r>
      <w:r w:rsidRPr="00BA01D5">
        <w:rPr>
          <w:rFonts w:ascii="Bookman Old Style" w:hAnsi="Bookman Old Style" w:cs="Arial"/>
        </w:rPr>
        <w:t>sancionar el daño ambiental con la cancelación de la concesión, licencia y permiso de actividades mineras y de hidrocarburos.</w:t>
      </w:r>
    </w:p>
    <w:p w14:paraId="4ADACD4D" w14:textId="1C779F60" w:rsidR="00C5274C" w:rsidRDefault="00C5274C" w:rsidP="00885A45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3741</w:t>
      </w:r>
      <w:r w:rsidRPr="00612C6E">
        <w:rPr>
          <w:rFonts w:ascii="Bookman Old Style" w:hAnsi="Bookman Old Style" w:cs="Arial"/>
          <w:b/>
        </w:rPr>
        <w:t>/2022-</w:t>
      </w:r>
      <w:r>
        <w:rPr>
          <w:rFonts w:ascii="Bookman Old Style" w:hAnsi="Bookman Old Style" w:cs="Arial"/>
          <w:b/>
        </w:rPr>
        <w:t>CR</w:t>
      </w:r>
      <w:r>
        <w:rPr>
          <w:rFonts w:ascii="Bookman Old Style" w:hAnsi="Bookman Old Style" w:cs="Arial"/>
        </w:rPr>
        <w:t>, mediante el cual se propone la Ley que fortalece el uso de energía verde en el parque automotor.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190AC18F" w14:textId="1F7D469F" w:rsidR="00520374" w:rsidRDefault="00520374" w:rsidP="00817AAF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Acuerdo de la Comisión para convocar en sesión extraordinaria al señor </w:t>
      </w:r>
      <w:r w:rsidR="002211A5">
        <w:rPr>
          <w:rFonts w:ascii="Bookman Old Style" w:eastAsiaTheme="minorEastAsia" w:hAnsi="Bookman Old Style" w:cstheme="minorBidi"/>
          <w:b/>
          <w:bCs/>
          <w:lang w:val="es-ES" w:eastAsia="es-ES"/>
        </w:rPr>
        <w:t>Óscar</w:t>
      </w:r>
      <w:r w:rsidRPr="00AD392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r w:rsidR="006518B4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Vera </w:t>
      </w:r>
      <w:proofErr w:type="spellStart"/>
      <w:r w:rsidR="006518B4">
        <w:rPr>
          <w:rFonts w:ascii="Bookman Old Style" w:eastAsiaTheme="minorEastAsia" w:hAnsi="Bookman Old Style" w:cstheme="minorBidi"/>
          <w:b/>
          <w:bCs/>
          <w:lang w:val="es-ES" w:eastAsia="es-ES"/>
        </w:rPr>
        <w:t>Gargurevich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, ministro de Energía y Minas, para que informe </w:t>
      </w:r>
      <w:r w:rsidRPr="007D6481">
        <w:rPr>
          <w:rFonts w:ascii="Bookman Old Style" w:eastAsiaTheme="minorEastAsia" w:hAnsi="Bookman Old Style" w:cstheme="minorBidi"/>
          <w:lang w:val="es-ES" w:eastAsia="es-ES"/>
        </w:rPr>
        <w:t>el estado situacional del Sector Energía, Minas e Hidrocarburos, los lineamientos de gestión a desarrollar, las políticas, objetivos y metas del ministerio a su cargo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A55F288" w14:textId="14A8234A" w:rsidR="00817AAF" w:rsidRPr="007D6481" w:rsidRDefault="00523E5C" w:rsidP="00817AAF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523E5C">
        <w:rPr>
          <w:rFonts w:ascii="Bookman Old Style" w:eastAsiaTheme="minorEastAsia" w:hAnsi="Bookman Old Style" w:cstheme="minorBidi"/>
          <w:lang w:val="es-ES" w:eastAsia="es-ES"/>
        </w:rPr>
        <w:t>Propuesta de acuerdo para solicitar a la Presidencia del Congreso de la República poner a consideración de</w:t>
      </w:r>
      <w:r w:rsidR="00FD6C90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523E5C">
        <w:rPr>
          <w:rFonts w:ascii="Bookman Old Style" w:eastAsiaTheme="minorEastAsia" w:hAnsi="Bookman Old Style" w:cstheme="minorBidi"/>
          <w:lang w:val="es-ES" w:eastAsia="es-ES"/>
        </w:rPr>
        <w:t>l</w:t>
      </w:r>
      <w:r w:rsidR="007E5AD5">
        <w:rPr>
          <w:rFonts w:ascii="Bookman Old Style" w:eastAsiaTheme="minorEastAsia" w:hAnsi="Bookman Old Style" w:cstheme="minorBidi"/>
          <w:lang w:val="es-ES" w:eastAsia="es-ES"/>
        </w:rPr>
        <w:t xml:space="preserve">a </w:t>
      </w:r>
      <w:r w:rsidRPr="00523E5C">
        <w:rPr>
          <w:rFonts w:ascii="Bookman Old Style" w:eastAsiaTheme="minorEastAsia" w:hAnsi="Bookman Old Style" w:cstheme="minorBidi"/>
          <w:lang w:val="es-ES" w:eastAsia="es-ES"/>
        </w:rPr>
        <w:t xml:space="preserve">Junta de Portavoces la priorización del debate del dictamen recaído en el </w:t>
      </w:r>
      <w:r w:rsidRPr="00745BD9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3195/2022-PE</w:t>
      </w:r>
      <w:r w:rsidRPr="00523E5C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</w:t>
      </w:r>
      <w:r w:rsidRPr="00523E5C">
        <w:rPr>
          <w:rFonts w:ascii="Bookman Old Style" w:eastAsiaTheme="minorEastAsia" w:hAnsi="Bookman Old Style" w:cstheme="minorBidi"/>
          <w:i/>
          <w:iCs/>
          <w:lang w:val="es-ES" w:eastAsia="es-ES"/>
        </w:rPr>
        <w:t>Ley que prorroga la vigencia de las Leyes 27623 y 27624, a fin de promover la exploración en las actividades mineras y de hidrocarburos</w:t>
      </w:r>
      <w:r w:rsidR="00817AAF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CA31F2A" w14:textId="4A27CD70" w:rsidR="00803F3B" w:rsidRPr="00D87EC1" w:rsidRDefault="00803F3B" w:rsidP="00C73BA8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796ED8">
        <w:rPr>
          <w:rFonts w:ascii="Bookman Old Style" w:eastAsiaTheme="minorEastAsia" w:hAnsi="Bookman Old Style" w:cstheme="minorBidi"/>
          <w:b/>
          <w:bCs/>
          <w:lang w:val="es-ES" w:eastAsia="es-ES"/>
        </w:rPr>
        <w:t>dictamen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297C7D">
        <w:rPr>
          <w:rFonts w:ascii="Bookman Old Style" w:eastAsiaTheme="minorEastAsia" w:hAnsi="Bookman Old Style" w:cstheme="minorBidi"/>
          <w:lang w:val="es-ES" w:eastAsia="es-ES"/>
        </w:rPr>
        <w:t xml:space="preserve">de </w:t>
      </w:r>
      <w:r w:rsidR="00297C7D" w:rsidRPr="00297C7D">
        <w:rPr>
          <w:rFonts w:ascii="Bookman Old Style" w:eastAsiaTheme="minorEastAsia" w:hAnsi="Bookman Old Style" w:cstheme="minorBidi"/>
          <w:b/>
          <w:bCs/>
          <w:lang w:val="es-ES" w:eastAsia="es-ES"/>
        </w:rPr>
        <w:t>NUEVO PROYECTO</w:t>
      </w:r>
      <w:r w:rsidR="00297C7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recaído </w:t>
      </w:r>
      <w:r w:rsidR="00312571">
        <w:rPr>
          <w:rFonts w:ascii="Bookman Old Style" w:eastAsiaTheme="minorEastAsia" w:hAnsi="Bookman Old Style" w:cstheme="minorBidi"/>
          <w:lang w:val="es-ES" w:eastAsia="es-ES"/>
        </w:rPr>
        <w:t xml:space="preserve">en las </w:t>
      </w:r>
      <w:r w:rsidR="00C73BA8">
        <w:rPr>
          <w:rFonts w:ascii="Bookman Old Style" w:eastAsiaTheme="minorEastAsia" w:hAnsi="Bookman Old Style" w:cstheme="minorBidi"/>
          <w:lang w:val="es-ES" w:eastAsia="es-ES"/>
        </w:rPr>
        <w:t>o</w:t>
      </w:r>
      <w:r w:rsidR="00312571">
        <w:rPr>
          <w:rFonts w:ascii="Bookman Old Style" w:eastAsiaTheme="minorEastAsia" w:hAnsi="Bookman Old Style" w:cstheme="minorBidi"/>
          <w:lang w:val="es-ES" w:eastAsia="es-ES"/>
        </w:rPr>
        <w:t xml:space="preserve">bservaciones del </w:t>
      </w:r>
      <w:proofErr w:type="gramStart"/>
      <w:r w:rsidR="00312571">
        <w:rPr>
          <w:rFonts w:ascii="Bookman Old Style" w:eastAsiaTheme="minorEastAsia" w:hAnsi="Bookman Old Style" w:cstheme="minorBidi"/>
          <w:lang w:val="es-ES" w:eastAsia="es-ES"/>
        </w:rPr>
        <w:t>Presidente</w:t>
      </w:r>
      <w:proofErr w:type="gramEnd"/>
      <w:r w:rsidR="00312571">
        <w:rPr>
          <w:rFonts w:ascii="Bookman Old Style" w:eastAsiaTheme="minorEastAsia" w:hAnsi="Bookman Old Style" w:cstheme="minorBidi"/>
          <w:lang w:val="es-ES" w:eastAsia="es-ES"/>
        </w:rPr>
        <w:t xml:space="preserve"> de la República </w:t>
      </w:r>
      <w:r w:rsidR="00C73BA8">
        <w:rPr>
          <w:rFonts w:ascii="Bookman Old Style" w:eastAsiaTheme="minorEastAsia" w:hAnsi="Bookman Old Style" w:cstheme="minorBidi"/>
          <w:lang w:val="es-ES" w:eastAsia="es-ES"/>
        </w:rPr>
        <w:t>a la Autógrafa derivada d</w:t>
      </w:r>
      <w:r w:rsidR="003B7D9D">
        <w:rPr>
          <w:rFonts w:ascii="Bookman Old Style" w:eastAsiaTheme="minorEastAsia" w:hAnsi="Bookman Old Style" w:cstheme="minorBidi"/>
          <w:lang w:val="es-ES" w:eastAsia="es-ES"/>
        </w:rPr>
        <w:t>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>679</w:t>
      </w:r>
      <w:r w:rsidR="001F33A7">
        <w:rPr>
          <w:rFonts w:ascii="Bookman Old Style" w:eastAsiaTheme="minorEastAsia" w:hAnsi="Bookman Old Style" w:cstheme="minorBidi"/>
          <w:b/>
          <w:bCs/>
          <w:lang w:val="es-ES" w:eastAsia="es-ES"/>
        </w:rPr>
        <w:t>/</w:t>
      </w:r>
      <w:r w:rsidR="005A6EE1">
        <w:rPr>
          <w:rFonts w:ascii="Bookman Old Style" w:eastAsiaTheme="minorEastAsia" w:hAnsi="Bookman Old Style" w:cstheme="minorBidi"/>
          <w:b/>
          <w:bCs/>
          <w:lang w:val="es-ES" w:eastAsia="es-ES"/>
        </w:rPr>
        <w:t>202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="005A6EE1">
        <w:rPr>
          <w:rFonts w:ascii="Bookman Old Style" w:eastAsiaTheme="minorEastAsia" w:hAnsi="Bookman Old Style" w:cstheme="minorBidi"/>
          <w:b/>
          <w:bCs/>
          <w:lang w:val="es-ES" w:eastAsia="es-ES"/>
        </w:rPr>
        <w:t>-</w:t>
      </w:r>
      <w:r w:rsidR="00597990">
        <w:rPr>
          <w:rFonts w:ascii="Bookman Old Style" w:eastAsiaTheme="minorEastAsia" w:hAnsi="Bookman Old Style" w:cstheme="minorBidi"/>
          <w:b/>
          <w:bCs/>
          <w:lang w:val="es-ES" w:eastAsia="es-ES"/>
        </w:rPr>
        <w:t>PE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otros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597990">
        <w:rPr>
          <w:rFonts w:ascii="Bookman Old Style" w:eastAsiaTheme="minorEastAsia" w:hAnsi="Bookman Old Style" w:cstheme="minorBidi"/>
          <w:lang w:val="es-ES" w:eastAsia="es-ES"/>
        </w:rPr>
        <w:t xml:space="preserve">, la </w:t>
      </w:r>
      <w:r w:rsidR="00C73BA8" w:rsidRPr="00C73BA8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medidas para impulsar la masificación del gas natural</w:t>
      </w:r>
      <w:r w:rsidR="003B7D9D"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5F622DD9" w14:textId="7978C094" w:rsidR="00857A21" w:rsidRDefault="00857A21" w:rsidP="00857A21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3182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/2022-CR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>, con texto sustitutorio, 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8E64B6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declara de interés nacional la protección, conservación, puesta en valor y preservación del bosque petrificado del distrito de La Brea, provincia de Talara, departamento de Piura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AD7DD6E" w14:textId="70692034" w:rsidR="009248AC" w:rsidRDefault="009248AC" w:rsidP="009248A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Debate del </w:t>
      </w: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3599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/2022-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PE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>, con texto sustitutorio, 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7E5AD5">
        <w:rPr>
          <w:rFonts w:ascii="Bookman Old Style" w:eastAsiaTheme="minorEastAsia" w:hAnsi="Bookman Old Style" w:cstheme="minorBidi"/>
          <w:i/>
          <w:iCs/>
          <w:lang w:val="es-ES" w:eastAsia="es-ES"/>
        </w:rPr>
        <w:t>L</w:t>
      </w:r>
      <w:r w:rsidR="007E5AD5" w:rsidRPr="007E5AD5">
        <w:rPr>
          <w:rFonts w:ascii="Bookman Old Style" w:eastAsiaTheme="minorEastAsia" w:hAnsi="Bookman Old Style" w:cstheme="minorBidi"/>
          <w:i/>
          <w:iCs/>
          <w:lang w:val="es-ES" w:eastAsia="es-ES"/>
        </w:rPr>
        <w:t>ey que promueve la contratación preferente de empresas de servicio de transporte de mercancías o transporte de personal del ámbito territorial del agente económico demandante, a fin de impulsar el desarrollo económico en los departamentos del país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38B76C0" w14:textId="06ADC93C" w:rsidR="006035EB" w:rsidRDefault="006035EB" w:rsidP="006035E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2330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3607/2022-CR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>, con texto sustitutorio, 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8E64B6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declara de interés nacional la reactivación prioritaria del Lote 8 en el departamento de Loreto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704738C" w14:textId="705EF7F4" w:rsidR="00817AAF" w:rsidRDefault="00817AAF" w:rsidP="00604DA8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aprobación de </w:t>
      </w:r>
      <w:r w:rsidRPr="00594E8B">
        <w:rPr>
          <w:rFonts w:ascii="Bookman Old Style" w:eastAsiaTheme="minorEastAsia" w:hAnsi="Bookman Old Style" w:cstheme="minorBidi"/>
          <w:b/>
          <w:bCs/>
          <w:lang w:val="es-ES" w:eastAsia="es-ES"/>
        </w:rPr>
        <w:t>Moción de Orden del Día</w:t>
      </w:r>
      <w:r w:rsidR="0019427E">
        <w:rPr>
          <w:rFonts w:ascii="Bookman Old Style" w:eastAsiaTheme="minorEastAsia" w:hAnsi="Bookman Old Style" w:cstheme="minorBidi"/>
          <w:lang w:val="es-ES" w:eastAsia="es-ES"/>
        </w:rPr>
        <w:t xml:space="preserve"> solicitando se declare en estado de emergencia el Centro Poblado La Rinconada, distrito de Ananea, departamento de Puno, debido a incremento descontrolado de la inseguridad ciudadana</w:t>
      </w:r>
      <w:r w:rsidR="000027DF">
        <w:rPr>
          <w:rFonts w:ascii="Bookman Old Style" w:eastAsiaTheme="minorEastAsia" w:hAnsi="Bookman Old Style" w:cstheme="minorBidi"/>
          <w:lang w:val="es-ES" w:eastAsia="es-ES"/>
        </w:rPr>
        <w:t xml:space="preserve"> afectando el desarrollo de la pequeña minería y artesanal</w:t>
      </w:r>
      <w:r w:rsidR="0019427E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432DFDC" w14:textId="3168F975" w:rsidR="00604DA8" w:rsidRDefault="00604DA8" w:rsidP="00604DA8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del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3377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del congresista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Eduardo </w:t>
      </w:r>
      <w:proofErr w:type="spellStart"/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Salhuana</w:t>
      </w:r>
      <w:proofErr w:type="spellEnd"/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proofErr w:type="spellStart"/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Cavides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, en su condición de autor de la iniciativa, mediante el cual propone </w:t>
      </w:r>
      <w:r w:rsidRPr="000E3E6F">
        <w:rPr>
          <w:rFonts w:ascii="Bookman Old Style" w:eastAsiaTheme="minorEastAsia" w:hAnsi="Bookman Old Style" w:cstheme="minorBidi"/>
          <w:lang w:val="es-ES" w:eastAsia="es-ES"/>
        </w:rPr>
        <w:t xml:space="preserve">establecer </w:t>
      </w:r>
      <w:r w:rsidRPr="005576E2">
        <w:rPr>
          <w:rFonts w:ascii="Bookman Old Style" w:eastAsiaTheme="minorEastAsia" w:hAnsi="Bookman Old Style" w:cstheme="minorBidi"/>
          <w:lang w:val="es-ES" w:eastAsia="es-ES"/>
        </w:rPr>
        <w:t xml:space="preserve">el régimen de solicitud y otorgamiento de concesiones mineras en las zonas de pequeña minería y minería artesanal de </w:t>
      </w:r>
      <w:r>
        <w:rPr>
          <w:rFonts w:ascii="Bookman Old Style" w:eastAsiaTheme="minorEastAsia" w:hAnsi="Bookman Old Style" w:cstheme="minorBidi"/>
          <w:lang w:val="es-ES" w:eastAsia="es-ES"/>
        </w:rPr>
        <w:t>M</w:t>
      </w:r>
      <w:r w:rsidRPr="005576E2">
        <w:rPr>
          <w:rFonts w:ascii="Bookman Old Style" w:eastAsiaTheme="minorEastAsia" w:hAnsi="Bookman Old Style" w:cstheme="minorBidi"/>
          <w:lang w:val="es-ES" w:eastAsia="es-ES"/>
        </w:rPr>
        <w:t xml:space="preserve">adre de </w:t>
      </w:r>
      <w:r>
        <w:rPr>
          <w:rFonts w:ascii="Bookman Old Style" w:eastAsiaTheme="minorEastAsia" w:hAnsi="Bookman Old Style" w:cstheme="minorBidi"/>
          <w:lang w:val="es-ES" w:eastAsia="es-ES"/>
        </w:rPr>
        <w:t>D</w:t>
      </w:r>
      <w:r w:rsidRPr="005576E2">
        <w:rPr>
          <w:rFonts w:ascii="Bookman Old Style" w:eastAsiaTheme="minorEastAsia" w:hAnsi="Bookman Old Style" w:cstheme="minorBidi"/>
          <w:lang w:val="es-ES" w:eastAsia="es-ES"/>
        </w:rPr>
        <w:t xml:space="preserve">ios comprendidas en el 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5576E2">
        <w:rPr>
          <w:rFonts w:ascii="Bookman Old Style" w:eastAsiaTheme="minorEastAsia" w:hAnsi="Bookman Old Style" w:cstheme="minorBidi"/>
          <w:lang w:val="es-ES" w:eastAsia="es-ES"/>
        </w:rPr>
        <w:t xml:space="preserve">nexo 1 del </w:t>
      </w:r>
      <w:r>
        <w:rPr>
          <w:rFonts w:ascii="Bookman Old Style" w:eastAsiaTheme="minorEastAsia" w:hAnsi="Bookman Old Style" w:cstheme="minorBidi"/>
          <w:lang w:val="es-ES" w:eastAsia="es-ES"/>
        </w:rPr>
        <w:t>D</w:t>
      </w:r>
      <w:r w:rsidRPr="005576E2">
        <w:rPr>
          <w:rFonts w:ascii="Bookman Old Style" w:eastAsiaTheme="minorEastAsia" w:hAnsi="Bookman Old Style" w:cstheme="minorBidi"/>
          <w:lang w:val="es-ES" w:eastAsia="es-ES"/>
        </w:rPr>
        <w:t xml:space="preserve">ecreto </w:t>
      </w:r>
      <w:r>
        <w:rPr>
          <w:rFonts w:ascii="Bookman Old Style" w:eastAsiaTheme="minorEastAsia" w:hAnsi="Bookman Old Style" w:cstheme="minorBidi"/>
          <w:lang w:val="es-ES" w:eastAsia="es-ES"/>
        </w:rPr>
        <w:t>L</w:t>
      </w:r>
      <w:r w:rsidRPr="005576E2">
        <w:rPr>
          <w:rFonts w:ascii="Bookman Old Style" w:eastAsiaTheme="minorEastAsia" w:hAnsi="Bookman Old Style" w:cstheme="minorBidi"/>
          <w:lang w:val="es-ES" w:eastAsia="es-ES"/>
        </w:rPr>
        <w:t>egislativo 1100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159982C" w14:textId="77777777" w:rsidR="00B32083" w:rsidRDefault="00B32083" w:rsidP="00B32083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Conformación del Consejo Consultivo de la Comisión de Energía y Minas para el Período de Sesiones 2022-2023.</w:t>
      </w:r>
    </w:p>
    <w:p w14:paraId="28F45B26" w14:textId="77777777" w:rsidR="00B32083" w:rsidRPr="00C864FE" w:rsidRDefault="00B32083" w:rsidP="00B32083">
      <w:pPr>
        <w:pStyle w:val="Prrafodelista"/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66599F16" w14:textId="410D5677" w:rsidR="00F86748" w:rsidRPr="000B5A0C" w:rsidRDefault="00F86748" w:rsidP="006F36BB">
      <w:pPr>
        <w:pStyle w:val="Prrafodelista"/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36B798BB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5A25BA">
        <w:rPr>
          <w:rFonts w:ascii="Bookman Old Style" w:eastAsia="Times New Roman" w:hAnsi="Bookman Old Style" w:cs="Arial"/>
          <w:lang w:val="es-ES" w:eastAsia="es-ES"/>
        </w:rPr>
        <w:t>1</w:t>
      </w:r>
      <w:r w:rsidR="00E63B98">
        <w:rPr>
          <w:rFonts w:ascii="Bookman Old Style" w:eastAsia="Times New Roman" w:hAnsi="Bookman Old Style" w:cs="Arial"/>
          <w:lang w:val="es-ES" w:eastAsia="es-ES"/>
        </w:rPr>
        <w:t>9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A25BA">
        <w:rPr>
          <w:rFonts w:ascii="Bookman Old Style" w:eastAsia="Times New Roman" w:hAnsi="Bookman Old Style" w:cs="Arial"/>
          <w:lang w:val="es-ES" w:eastAsia="es-ES"/>
        </w:rPr>
        <w:t>diciembre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89A1C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58A"/>
    <w:multiLevelType w:val="hybridMultilevel"/>
    <w:tmpl w:val="7494DD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3BF1343"/>
    <w:multiLevelType w:val="hybridMultilevel"/>
    <w:tmpl w:val="0BE4AEAA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7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2183">
    <w:abstractNumId w:val="19"/>
  </w:num>
  <w:num w:numId="2" w16cid:durableId="1278681775">
    <w:abstractNumId w:val="3"/>
  </w:num>
  <w:num w:numId="3" w16cid:durableId="1344668372">
    <w:abstractNumId w:val="15"/>
  </w:num>
  <w:num w:numId="4" w16cid:durableId="1552961548">
    <w:abstractNumId w:val="27"/>
  </w:num>
  <w:num w:numId="5" w16cid:durableId="915627788">
    <w:abstractNumId w:val="1"/>
  </w:num>
  <w:num w:numId="6" w16cid:durableId="1651713259">
    <w:abstractNumId w:val="34"/>
  </w:num>
  <w:num w:numId="7" w16cid:durableId="1424376064">
    <w:abstractNumId w:val="24"/>
  </w:num>
  <w:num w:numId="8" w16cid:durableId="1550343770">
    <w:abstractNumId w:val="25"/>
  </w:num>
  <w:num w:numId="9" w16cid:durableId="129134993">
    <w:abstractNumId w:val="5"/>
  </w:num>
  <w:num w:numId="10" w16cid:durableId="1406299703">
    <w:abstractNumId w:val="35"/>
  </w:num>
  <w:num w:numId="11" w16cid:durableId="512456427">
    <w:abstractNumId w:val="23"/>
  </w:num>
  <w:num w:numId="12" w16cid:durableId="486677035">
    <w:abstractNumId w:val="29"/>
  </w:num>
  <w:num w:numId="13" w16cid:durableId="191187991">
    <w:abstractNumId w:val="40"/>
  </w:num>
  <w:num w:numId="14" w16cid:durableId="630088290">
    <w:abstractNumId w:val="39"/>
  </w:num>
  <w:num w:numId="15" w16cid:durableId="911890407">
    <w:abstractNumId w:val="10"/>
  </w:num>
  <w:num w:numId="16" w16cid:durableId="1103383644">
    <w:abstractNumId w:val="38"/>
  </w:num>
  <w:num w:numId="17" w16cid:durableId="445736169">
    <w:abstractNumId w:val="36"/>
  </w:num>
  <w:num w:numId="18" w16cid:durableId="1964000883">
    <w:abstractNumId w:val="17"/>
  </w:num>
  <w:num w:numId="19" w16cid:durableId="1906915452">
    <w:abstractNumId w:val="0"/>
  </w:num>
  <w:num w:numId="20" w16cid:durableId="1990135610">
    <w:abstractNumId w:val="22"/>
  </w:num>
  <w:num w:numId="21" w16cid:durableId="1203862383">
    <w:abstractNumId w:val="16"/>
  </w:num>
  <w:num w:numId="22" w16cid:durableId="2126074623">
    <w:abstractNumId w:val="18"/>
  </w:num>
  <w:num w:numId="23" w16cid:durableId="2020279287">
    <w:abstractNumId w:val="31"/>
  </w:num>
  <w:num w:numId="24" w16cid:durableId="795684235">
    <w:abstractNumId w:val="7"/>
  </w:num>
  <w:num w:numId="25" w16cid:durableId="863908182">
    <w:abstractNumId w:val="9"/>
  </w:num>
  <w:num w:numId="26" w16cid:durableId="1040473337">
    <w:abstractNumId w:val="8"/>
  </w:num>
  <w:num w:numId="27" w16cid:durableId="712508309">
    <w:abstractNumId w:val="20"/>
  </w:num>
  <w:num w:numId="28" w16cid:durableId="509101655">
    <w:abstractNumId w:val="21"/>
  </w:num>
  <w:num w:numId="29" w16cid:durableId="81536769">
    <w:abstractNumId w:val="11"/>
  </w:num>
  <w:num w:numId="30" w16cid:durableId="125200661">
    <w:abstractNumId w:val="37"/>
  </w:num>
  <w:num w:numId="31" w16cid:durableId="768812529">
    <w:abstractNumId w:val="2"/>
  </w:num>
  <w:num w:numId="32" w16cid:durableId="656493539">
    <w:abstractNumId w:val="12"/>
  </w:num>
  <w:num w:numId="33" w16cid:durableId="1505509138">
    <w:abstractNumId w:val="4"/>
  </w:num>
  <w:num w:numId="34" w16cid:durableId="1146778602">
    <w:abstractNumId w:val="13"/>
  </w:num>
  <w:num w:numId="35" w16cid:durableId="1424491734">
    <w:abstractNumId w:val="32"/>
  </w:num>
  <w:num w:numId="36" w16cid:durableId="84765275">
    <w:abstractNumId w:val="33"/>
  </w:num>
  <w:num w:numId="37" w16cid:durableId="1492520050">
    <w:abstractNumId w:val="28"/>
  </w:num>
  <w:num w:numId="38" w16cid:durableId="1952007251">
    <w:abstractNumId w:val="41"/>
  </w:num>
  <w:num w:numId="39" w16cid:durableId="1305240496">
    <w:abstractNumId w:val="30"/>
  </w:num>
  <w:num w:numId="40" w16cid:durableId="1529298864">
    <w:abstractNumId w:val="14"/>
  </w:num>
  <w:num w:numId="41" w16cid:durableId="1413699611">
    <w:abstractNumId w:val="26"/>
  </w:num>
  <w:num w:numId="42" w16cid:durableId="8719623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0F70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B0771"/>
    <w:rsid w:val="000B0D8D"/>
    <w:rsid w:val="000B3DC2"/>
    <w:rsid w:val="000B42CD"/>
    <w:rsid w:val="000B4E42"/>
    <w:rsid w:val="000B5A0C"/>
    <w:rsid w:val="000B5CBD"/>
    <w:rsid w:val="000B6688"/>
    <w:rsid w:val="000B7F6B"/>
    <w:rsid w:val="000C0EE1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2D5F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5279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66182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FD8"/>
    <w:rsid w:val="002A3A0E"/>
    <w:rsid w:val="002A4EAE"/>
    <w:rsid w:val="002A5321"/>
    <w:rsid w:val="002A7507"/>
    <w:rsid w:val="002A7EBD"/>
    <w:rsid w:val="002B077D"/>
    <w:rsid w:val="002B1C1C"/>
    <w:rsid w:val="002B2D7E"/>
    <w:rsid w:val="002B2E6A"/>
    <w:rsid w:val="002B36C4"/>
    <w:rsid w:val="002B7C65"/>
    <w:rsid w:val="002C032A"/>
    <w:rsid w:val="002C0BE9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6A9F"/>
    <w:rsid w:val="00326B04"/>
    <w:rsid w:val="00326B1E"/>
    <w:rsid w:val="00330478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036F"/>
    <w:rsid w:val="003B275E"/>
    <w:rsid w:val="003B4E15"/>
    <w:rsid w:val="003B51F9"/>
    <w:rsid w:val="003B5317"/>
    <w:rsid w:val="003B58DB"/>
    <w:rsid w:val="003B62CC"/>
    <w:rsid w:val="003B7D9D"/>
    <w:rsid w:val="003C0FD4"/>
    <w:rsid w:val="003C2E04"/>
    <w:rsid w:val="003C3591"/>
    <w:rsid w:val="003C42F6"/>
    <w:rsid w:val="003C4D0F"/>
    <w:rsid w:val="003C6F02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DAE"/>
    <w:rsid w:val="00400210"/>
    <w:rsid w:val="00403E3E"/>
    <w:rsid w:val="00406901"/>
    <w:rsid w:val="00406D88"/>
    <w:rsid w:val="004108A9"/>
    <w:rsid w:val="0041222A"/>
    <w:rsid w:val="00413E43"/>
    <w:rsid w:val="004171EE"/>
    <w:rsid w:val="00417DB5"/>
    <w:rsid w:val="00422689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019"/>
    <w:rsid w:val="0045224F"/>
    <w:rsid w:val="00452970"/>
    <w:rsid w:val="00452FE4"/>
    <w:rsid w:val="00454716"/>
    <w:rsid w:val="00456A8D"/>
    <w:rsid w:val="00460C3B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4E97"/>
    <w:rsid w:val="00485743"/>
    <w:rsid w:val="00487C65"/>
    <w:rsid w:val="00487F11"/>
    <w:rsid w:val="0049229B"/>
    <w:rsid w:val="004923AA"/>
    <w:rsid w:val="00493438"/>
    <w:rsid w:val="00493EAE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E513F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11375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0370"/>
    <w:rsid w:val="005825F8"/>
    <w:rsid w:val="005826EC"/>
    <w:rsid w:val="00582B56"/>
    <w:rsid w:val="005831E7"/>
    <w:rsid w:val="0058333B"/>
    <w:rsid w:val="005867AF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DA8"/>
    <w:rsid w:val="0060580C"/>
    <w:rsid w:val="006064C4"/>
    <w:rsid w:val="00612C6E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7D8F"/>
    <w:rsid w:val="00630FC5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50F17"/>
    <w:rsid w:val="006510A2"/>
    <w:rsid w:val="006518B4"/>
    <w:rsid w:val="00651A51"/>
    <w:rsid w:val="00652D65"/>
    <w:rsid w:val="006549D7"/>
    <w:rsid w:val="00656855"/>
    <w:rsid w:val="00660284"/>
    <w:rsid w:val="00660474"/>
    <w:rsid w:val="00662761"/>
    <w:rsid w:val="00662C2F"/>
    <w:rsid w:val="00664538"/>
    <w:rsid w:val="00665E3E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54D8"/>
    <w:rsid w:val="006855DC"/>
    <w:rsid w:val="006862AC"/>
    <w:rsid w:val="00687077"/>
    <w:rsid w:val="006879A9"/>
    <w:rsid w:val="00687A3F"/>
    <w:rsid w:val="00687FAD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EEC"/>
    <w:rsid w:val="00701254"/>
    <w:rsid w:val="00703093"/>
    <w:rsid w:val="00704C3A"/>
    <w:rsid w:val="007054D1"/>
    <w:rsid w:val="00706648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5BD9"/>
    <w:rsid w:val="00747025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680C"/>
    <w:rsid w:val="00787A34"/>
    <w:rsid w:val="00787EA2"/>
    <w:rsid w:val="007913E9"/>
    <w:rsid w:val="007921B1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268"/>
    <w:rsid w:val="007E5AD5"/>
    <w:rsid w:val="007E623A"/>
    <w:rsid w:val="007F3B94"/>
    <w:rsid w:val="007F3D0A"/>
    <w:rsid w:val="0080095E"/>
    <w:rsid w:val="00803F3B"/>
    <w:rsid w:val="0080616B"/>
    <w:rsid w:val="00806942"/>
    <w:rsid w:val="00807C67"/>
    <w:rsid w:val="00810F51"/>
    <w:rsid w:val="00811DB7"/>
    <w:rsid w:val="00814E72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71EB"/>
    <w:rsid w:val="0085769C"/>
    <w:rsid w:val="00857A21"/>
    <w:rsid w:val="00860469"/>
    <w:rsid w:val="008620F2"/>
    <w:rsid w:val="00862DD3"/>
    <w:rsid w:val="008635AB"/>
    <w:rsid w:val="008636CE"/>
    <w:rsid w:val="00863F03"/>
    <w:rsid w:val="00865BD8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979F5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248AC"/>
    <w:rsid w:val="00930EA3"/>
    <w:rsid w:val="00936FBA"/>
    <w:rsid w:val="009376ED"/>
    <w:rsid w:val="00937B38"/>
    <w:rsid w:val="0094034E"/>
    <w:rsid w:val="0094108E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38AE"/>
    <w:rsid w:val="00977989"/>
    <w:rsid w:val="00980DC3"/>
    <w:rsid w:val="00981084"/>
    <w:rsid w:val="00984560"/>
    <w:rsid w:val="0098510D"/>
    <w:rsid w:val="00986683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788D"/>
    <w:rsid w:val="009A788E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070"/>
    <w:rsid w:val="00A24DA5"/>
    <w:rsid w:val="00A24E01"/>
    <w:rsid w:val="00A265B4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56FAC"/>
    <w:rsid w:val="00A61150"/>
    <w:rsid w:val="00A6483B"/>
    <w:rsid w:val="00A64FC2"/>
    <w:rsid w:val="00A6664A"/>
    <w:rsid w:val="00A66E40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C0B"/>
    <w:rsid w:val="00AF5AEA"/>
    <w:rsid w:val="00AF670B"/>
    <w:rsid w:val="00AF7F15"/>
    <w:rsid w:val="00B03288"/>
    <w:rsid w:val="00B033B0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208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1D5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4C2E"/>
    <w:rsid w:val="00C24D78"/>
    <w:rsid w:val="00C26577"/>
    <w:rsid w:val="00C26ECC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523B"/>
    <w:rsid w:val="00C85AB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7D3A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6DB"/>
    <w:rsid w:val="00D74DC2"/>
    <w:rsid w:val="00D7560C"/>
    <w:rsid w:val="00D76E9F"/>
    <w:rsid w:val="00D825BD"/>
    <w:rsid w:val="00D836E3"/>
    <w:rsid w:val="00D83EE4"/>
    <w:rsid w:val="00D85F0A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BE2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54BB"/>
    <w:rsid w:val="00E75B29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006F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4078"/>
    <w:rsid w:val="00ED6677"/>
    <w:rsid w:val="00ED786A"/>
    <w:rsid w:val="00EE15F8"/>
    <w:rsid w:val="00EE1D91"/>
    <w:rsid w:val="00EE450A"/>
    <w:rsid w:val="00EE58AF"/>
    <w:rsid w:val="00EF02D1"/>
    <w:rsid w:val="00EF031B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6B6A"/>
    <w:rsid w:val="00F1317B"/>
    <w:rsid w:val="00F15C13"/>
    <w:rsid w:val="00F15D9B"/>
    <w:rsid w:val="00F16DF6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6990"/>
    <w:rsid w:val="00F77D51"/>
    <w:rsid w:val="00F82285"/>
    <w:rsid w:val="00F825D6"/>
    <w:rsid w:val="00F84F49"/>
    <w:rsid w:val="00F854DE"/>
    <w:rsid w:val="00F85AAB"/>
    <w:rsid w:val="00F85BDF"/>
    <w:rsid w:val="00F85CFA"/>
    <w:rsid w:val="00F86748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E5F"/>
    <w:rsid w:val="00FE30A0"/>
    <w:rsid w:val="00FE473D"/>
    <w:rsid w:val="00FE4EAE"/>
    <w:rsid w:val="00FE4F2C"/>
    <w:rsid w:val="00FE57AD"/>
    <w:rsid w:val="00FE68DB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9</cp:revision>
  <cp:lastPrinted>2022-11-15T15:08:00Z</cp:lastPrinted>
  <dcterms:created xsi:type="dcterms:W3CDTF">2022-12-19T15:36:00Z</dcterms:created>
  <dcterms:modified xsi:type="dcterms:W3CDTF">2022-12-19T16:36:00Z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