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43684909" w:rsidR="00AC6F83" w:rsidRDefault="00AF286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NOVENA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06429904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CD4059">
        <w:rPr>
          <w:rFonts w:ascii="Bookman Old Style" w:hAnsi="Bookman Old Style" w:cs="Arial"/>
        </w:rPr>
        <w:t>Miércoles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990773">
        <w:rPr>
          <w:rFonts w:ascii="Bookman Old Style" w:hAnsi="Bookman Old Style" w:cs="Arial"/>
        </w:rPr>
        <w:t>1</w:t>
      </w:r>
      <w:r w:rsidR="00AF286F">
        <w:rPr>
          <w:rFonts w:ascii="Bookman Old Style" w:hAnsi="Bookman Old Style" w:cs="Arial"/>
        </w:rPr>
        <w:t>6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AF286F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5F9762D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F854DE">
        <w:rPr>
          <w:rFonts w:ascii="Bookman Old Style" w:hAnsi="Bookman Old Style" w:cs="Arial"/>
        </w:rPr>
        <w:t>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FC6FC49" w14:textId="77777777" w:rsidR="009A3403" w:rsidRDefault="00035652" w:rsidP="00F854DE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</w:t>
      </w:r>
    </w:p>
    <w:p w14:paraId="2E9B4CFF" w14:textId="78C1D9A1" w:rsidR="00F854DE" w:rsidRDefault="00F854DE" w:rsidP="009A3403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[Sala </w:t>
      </w:r>
      <w:r w:rsidR="009A3403">
        <w:rPr>
          <w:rFonts w:ascii="Bookman Old Style" w:hAnsi="Bookman Old Style" w:cs="Arial"/>
        </w:rPr>
        <w:t>6: José Gabriel Túpac Amaru y Micaela Bastida</w:t>
      </w:r>
      <w:r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35AB0F24" w:rsidR="00637822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184D4B">
        <w:rPr>
          <w:rFonts w:ascii="Bookman Old Style" w:hAnsi="Bookman Old Style" w:cs="Arial"/>
        </w:rPr>
        <w:t xml:space="preserve">Segunda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184D4B">
        <w:rPr>
          <w:rFonts w:ascii="Bookman Old Style" w:hAnsi="Bookman Old Style" w:cs="Arial"/>
        </w:rPr>
        <w:t>Extrao</w:t>
      </w:r>
      <w:r w:rsidR="00092D15" w:rsidRPr="0095229F">
        <w:rPr>
          <w:rFonts w:ascii="Bookman Old Style" w:hAnsi="Bookman Old Style" w:cs="Arial"/>
        </w:rPr>
        <w:t>rdinaria</w:t>
      </w:r>
      <w:r w:rsidR="00AF286F">
        <w:rPr>
          <w:rFonts w:ascii="Bookman Old Style" w:hAnsi="Bookman Old Style" w:cs="Arial"/>
        </w:rPr>
        <w:t xml:space="preserve"> Descentralizada</w:t>
      </w:r>
      <w:r w:rsidR="00EE1D91">
        <w:rPr>
          <w:rFonts w:ascii="Bookman Old Style" w:hAnsi="Bookman Old Style" w:cs="Arial"/>
        </w:rPr>
        <w:t>,</w:t>
      </w:r>
      <w:r w:rsidR="00092D1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AF286F">
        <w:rPr>
          <w:rFonts w:ascii="Bookman Old Style" w:hAnsi="Bookman Old Style" w:cs="Arial"/>
        </w:rPr>
        <w:t>7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AF286F">
        <w:rPr>
          <w:rFonts w:ascii="Bookman Old Style" w:hAnsi="Bookman Old Style" w:cs="Arial"/>
        </w:rPr>
        <w:t>noviembre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02ECEF05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552161">
        <w:rPr>
          <w:rFonts w:ascii="Bookman Old Style" w:hAnsi="Bookman Old Style" w:cs="Arial"/>
        </w:rPr>
        <w:t>8</w:t>
      </w:r>
      <w:r w:rsidR="00612C6E">
        <w:rPr>
          <w:rFonts w:ascii="Bookman Old Style" w:hAnsi="Bookman Old Style" w:cs="Arial"/>
        </w:rPr>
        <w:t xml:space="preserve"> </w:t>
      </w:r>
      <w:r w:rsidR="00990773">
        <w:rPr>
          <w:rFonts w:ascii="Bookman Old Style" w:hAnsi="Bookman Old Style" w:cs="Arial"/>
        </w:rPr>
        <w:t>al 1</w:t>
      </w:r>
      <w:r w:rsidR="00552161">
        <w:rPr>
          <w:rFonts w:ascii="Bookman Old Style" w:hAnsi="Bookman Old Style" w:cs="Arial"/>
        </w:rPr>
        <w:t>4</w:t>
      </w:r>
      <w:r w:rsidR="00F71870">
        <w:rPr>
          <w:rFonts w:ascii="Bookman Old Style" w:hAnsi="Bookman Old Style" w:cs="Arial"/>
        </w:rPr>
        <w:t xml:space="preserve"> de </w:t>
      </w:r>
      <w:r w:rsidR="00552161">
        <w:rPr>
          <w:rFonts w:ascii="Bookman Old Style" w:hAnsi="Bookman Old Style" w:cs="Arial"/>
        </w:rPr>
        <w:t>noviembre</w:t>
      </w:r>
      <w:r w:rsidR="00F71870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1962EBD8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552161">
        <w:rPr>
          <w:rFonts w:ascii="Bookman Old Style" w:hAnsi="Bookman Old Style" w:cs="Arial"/>
        </w:rPr>
        <w:t>8 al 14 de noviembre</w:t>
      </w:r>
      <w:r w:rsidR="00C15465">
        <w:rPr>
          <w:rFonts w:ascii="Bookman Old Style" w:hAnsi="Bookman Old Style" w:cs="Arial"/>
        </w:rPr>
        <w:t xml:space="preserve"> </w:t>
      </w:r>
      <w:r w:rsidR="00C15465" w:rsidRPr="6AAAE291">
        <w:rPr>
          <w:rFonts w:ascii="Bookman Old Style" w:hAnsi="Bookman Old Style" w:cs="Arial"/>
        </w:rPr>
        <w:t>de 202</w:t>
      </w:r>
      <w:r w:rsidR="00C15465">
        <w:rPr>
          <w:rFonts w:ascii="Bookman Old Style" w:hAnsi="Bookman Old Style" w:cs="Arial"/>
        </w:rPr>
        <w:t>2</w:t>
      </w:r>
      <w:r w:rsidR="00C15465" w:rsidRPr="6AAAE291">
        <w:rPr>
          <w:rFonts w:ascii="Bookman Old Style" w:hAnsi="Bookman Old Style" w:cs="Arial"/>
        </w:rPr>
        <w:t>.</w:t>
      </w:r>
    </w:p>
    <w:p w14:paraId="4BF16B1D" w14:textId="4F041389" w:rsidR="00612C6E" w:rsidRDefault="00612C6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6A6E5352" w14:textId="77777777" w:rsidR="00612C6E" w:rsidRDefault="00612C6E" w:rsidP="00612C6E">
      <w:pPr>
        <w:pStyle w:val="Prrafodelista"/>
        <w:spacing w:after="0" w:line="240" w:lineRule="auto"/>
        <w:ind w:left="408"/>
        <w:contextualSpacing/>
        <w:rPr>
          <w:rFonts w:ascii="Bookman Old Style" w:hAnsi="Bookman Old Style" w:cs="Arial"/>
        </w:rPr>
      </w:pPr>
    </w:p>
    <w:p w14:paraId="257F67DA" w14:textId="21CF117E" w:rsidR="00612C6E" w:rsidRDefault="00612C6E" w:rsidP="00612C6E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>Proyecto de Ley 3</w:t>
      </w:r>
      <w:r w:rsidR="00552161">
        <w:rPr>
          <w:rFonts w:ascii="Bookman Old Style" w:hAnsi="Bookman Old Style" w:cs="Arial"/>
          <w:b/>
        </w:rPr>
        <w:t>447</w:t>
      </w:r>
      <w:r w:rsidRPr="00612C6E">
        <w:rPr>
          <w:rFonts w:ascii="Bookman Old Style" w:hAnsi="Bookman Old Style" w:cs="Arial"/>
          <w:b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="00552161" w:rsidRPr="00552161">
        <w:rPr>
          <w:rFonts w:ascii="Bookman Old Style" w:hAnsi="Bookman Old Style" w:cs="Arial"/>
        </w:rPr>
        <w:t>encargar a OSINERGMIN normar la regulación de las características mínimas de seguridad requeridas para la instalación de gas natural vehicular (</w:t>
      </w:r>
      <w:r w:rsidR="00552161">
        <w:rPr>
          <w:rFonts w:ascii="Bookman Old Style" w:hAnsi="Bookman Old Style" w:cs="Arial"/>
        </w:rPr>
        <w:t>GNV</w:t>
      </w:r>
      <w:r w:rsidR="00552161" w:rsidRPr="00552161">
        <w:rPr>
          <w:rFonts w:ascii="Bookman Old Style" w:hAnsi="Bookman Old Style" w:cs="Arial"/>
        </w:rPr>
        <w:t>), en las conversiones de todo tipo de vehículo, así como la certificación de los talleres de conversión.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3E97942" w14:textId="5B166B96" w:rsidR="00990773" w:rsidRDefault="00990773" w:rsidP="00A66E4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5520EA">
        <w:rPr>
          <w:rFonts w:ascii="Bookman Old Style" w:eastAsiaTheme="minorEastAsia" w:hAnsi="Bookman Old Style" w:cstheme="minorBidi"/>
          <w:b/>
          <w:bCs/>
          <w:lang w:val="es-ES" w:eastAsia="es-ES"/>
        </w:rPr>
        <w:t>3267</w:t>
      </w:r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 w:rsidR="00A66E40"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="005520EA" w:rsidRPr="005520EA">
        <w:rPr>
          <w:rFonts w:ascii="Bookman Old Style" w:eastAsiaTheme="minorEastAsia" w:hAnsi="Bookman Old Style" w:cstheme="minorBidi"/>
          <w:lang w:val="es-ES" w:eastAsia="es-ES"/>
        </w:rPr>
        <w:t>declarar de necesidad pública e interés nacional el uso de hidrógeno verde como energía limpia y renovable</w:t>
      </w:r>
      <w:r w:rsidR="00A66E40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a cargo del congresista </w:t>
      </w:r>
      <w:r w:rsidR="005520EA">
        <w:rPr>
          <w:rFonts w:ascii="Bookman Old Style" w:eastAsiaTheme="minorEastAsia" w:hAnsi="Bookman Old Style" w:cstheme="minorBidi"/>
          <w:b/>
          <w:bCs/>
          <w:lang w:val="es-ES" w:eastAsia="es-ES"/>
        </w:rPr>
        <w:t>Segundo Montalvo Cubas</w:t>
      </w:r>
      <w:r w:rsidR="0001730E">
        <w:rPr>
          <w:rFonts w:ascii="Bookman Old Style" w:eastAsiaTheme="minorEastAsia" w:hAnsi="Bookman Old Style" w:cstheme="minorBidi"/>
          <w:lang w:val="es-ES" w:eastAsia="es-ES"/>
        </w:rPr>
        <w:t>, autor de la iniciativa.</w:t>
      </w:r>
    </w:p>
    <w:p w14:paraId="062A4A43" w14:textId="59DCD0B9" w:rsidR="00A56FAC" w:rsidRDefault="00A56FAC" w:rsidP="00A66E4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institucional de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MYPES Unidas del Perú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(MUP), a cargo del señor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Daniel Hermoza Negreiros</w:t>
      </w:r>
      <w:r>
        <w:rPr>
          <w:rFonts w:ascii="Bookman Old Style" w:eastAsiaTheme="minorEastAsia" w:hAnsi="Bookman Old Style" w:cstheme="minorBidi"/>
          <w:lang w:val="es-ES" w:eastAsia="es-ES"/>
        </w:rPr>
        <w:t>, director del Centro de Estudios MUP, respecto de las siguientes iniciativas legislativas:</w:t>
      </w:r>
    </w:p>
    <w:p w14:paraId="11AD115A" w14:textId="1B5DC83C" w:rsidR="00A56FAC" w:rsidRPr="00A56FAC" w:rsidRDefault="00A56FAC" w:rsidP="00A56FAC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2543/2021-CR</w:t>
      </w:r>
      <w:r w:rsidRPr="00A56FAC">
        <w:rPr>
          <w:rFonts w:ascii="Bookman Old Style" w:eastAsiaTheme="minorEastAsia" w:hAnsi="Bookman Old Style" w:cstheme="minorBidi"/>
          <w:lang w:val="es-ES" w:eastAsia="es-ES"/>
        </w:rPr>
        <w:t xml:space="preserve">, mediante el cual se formula la </w:t>
      </w:r>
      <w:r w:rsidRPr="00A56FAC">
        <w:rPr>
          <w:rFonts w:ascii="Bookman Old Style" w:eastAsiaTheme="minorEastAsia" w:hAnsi="Bookman Old Style" w:cstheme="minorBidi"/>
          <w:i/>
          <w:iCs/>
          <w:lang w:val="es-ES" w:eastAsia="es-ES"/>
        </w:rPr>
        <w:t>Ley que faculta a las MYPES elegir el mercado libre o regulado de electricidad</w:t>
      </w:r>
      <w:r w:rsidRPr="00A56FAC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FEC0734" w14:textId="541A83AE" w:rsidR="00A56FAC" w:rsidRPr="00A56FAC" w:rsidRDefault="00A56FAC" w:rsidP="00A56FAC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2691/20221-CR</w:t>
      </w:r>
      <w:r w:rsidRPr="00A56FAC">
        <w:rPr>
          <w:rFonts w:ascii="Bookman Old Style" w:eastAsiaTheme="minorEastAsia" w:hAnsi="Bookman Old Style" w:cstheme="minorBidi"/>
          <w:lang w:val="es-ES" w:eastAsia="es-ES"/>
        </w:rPr>
        <w:t xml:space="preserve">, mediante el cual se formula </w:t>
      </w:r>
      <w:r w:rsidRPr="00A56FAC">
        <w:rPr>
          <w:rFonts w:ascii="Bookman Old Style" w:eastAsiaTheme="minorEastAsia" w:hAnsi="Bookman Old Style" w:cstheme="minorBidi"/>
          <w:i/>
          <w:iCs/>
          <w:lang w:val="es-ES" w:eastAsia="es-ES"/>
        </w:rPr>
        <w:t>Ley que permite a las MYPES negociar los precios de la electricidad para fortalecer su competitividad</w:t>
      </w:r>
      <w:r w:rsidRPr="00A56FAC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0740248C" w14:textId="163413CC" w:rsidR="00A56FAC" w:rsidRDefault="00A56FAC" w:rsidP="00A56FAC">
      <w:pPr>
        <w:pStyle w:val="Prrafodelista"/>
        <w:numPr>
          <w:ilvl w:val="0"/>
          <w:numId w:val="40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lastRenderedPageBreak/>
        <w:t>Proyecto de Ley 3394/2022-CR</w:t>
      </w:r>
      <w:r w:rsidRPr="00A56FAC">
        <w:rPr>
          <w:rFonts w:ascii="Bookman Old Style" w:eastAsiaTheme="minorEastAsia" w:hAnsi="Bookman Old Style" w:cstheme="minorBidi"/>
          <w:lang w:val="es-ES" w:eastAsia="es-ES"/>
        </w:rPr>
        <w:t xml:space="preserve">, mediante el cual se formula la </w:t>
      </w:r>
      <w:r w:rsidRPr="00A56FAC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la portabilidad eléctrica de la Micro, Pequeña y la Mediana Empresa (MIPYME) a fin de fomentar la competitividad empresarial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CA31F2A" w14:textId="2856B423" w:rsidR="00803F3B" w:rsidRPr="00D87EC1" w:rsidRDefault="00803F3B" w:rsidP="00C73BA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796ED8">
        <w:rPr>
          <w:rFonts w:ascii="Bookman Old Style" w:eastAsiaTheme="minorEastAsia" w:hAnsi="Bookman Old Style" w:cstheme="minorBidi"/>
          <w:b/>
          <w:bCs/>
          <w:lang w:val="es-ES" w:eastAsia="es-ES"/>
        </w:rPr>
        <w:t>dictamen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297C7D">
        <w:rPr>
          <w:rFonts w:ascii="Bookman Old Style" w:eastAsiaTheme="minorEastAsia" w:hAnsi="Bookman Old Style" w:cstheme="minorBidi"/>
          <w:lang w:val="es-ES" w:eastAsia="es-ES"/>
        </w:rPr>
        <w:t xml:space="preserve">de </w:t>
      </w:r>
      <w:r w:rsidR="00297C7D" w:rsidRPr="00297C7D">
        <w:rPr>
          <w:rFonts w:ascii="Bookman Old Style" w:eastAsiaTheme="minorEastAsia" w:hAnsi="Bookman Old Style" w:cstheme="minorBidi"/>
          <w:b/>
          <w:bCs/>
          <w:lang w:val="es-ES" w:eastAsia="es-ES"/>
        </w:rPr>
        <w:t>NUEVO PROYECTO</w:t>
      </w:r>
      <w:r w:rsidR="00297C7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recaído </w:t>
      </w:r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en las </w:t>
      </w:r>
      <w:r w:rsidR="00C73BA8">
        <w:rPr>
          <w:rFonts w:ascii="Bookman Old Style" w:eastAsiaTheme="minorEastAsia" w:hAnsi="Bookman Old Style" w:cstheme="minorBidi"/>
          <w:lang w:val="es-ES" w:eastAsia="es-ES"/>
        </w:rPr>
        <w:t>o</w:t>
      </w:r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bservaciones del </w:t>
      </w:r>
      <w:proofErr w:type="gramStart"/>
      <w:r w:rsidR="00312571">
        <w:rPr>
          <w:rFonts w:ascii="Bookman Old Style" w:eastAsiaTheme="minorEastAsia" w:hAnsi="Bookman Old Style" w:cstheme="minorBidi"/>
          <w:lang w:val="es-ES" w:eastAsia="es-ES"/>
        </w:rPr>
        <w:t>Presidente</w:t>
      </w:r>
      <w:proofErr w:type="gramEnd"/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 de la República </w:t>
      </w:r>
      <w:r w:rsidR="00C73BA8">
        <w:rPr>
          <w:rFonts w:ascii="Bookman Old Style" w:eastAsiaTheme="minorEastAsia" w:hAnsi="Bookman Old Style" w:cstheme="minorBidi"/>
          <w:lang w:val="es-ES" w:eastAsia="es-ES"/>
        </w:rPr>
        <w:t>a la Autógrafa derivada d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>679</w:t>
      </w:r>
      <w:r w:rsidR="001F33A7">
        <w:rPr>
          <w:rFonts w:ascii="Bookman Old Style" w:eastAsiaTheme="minorEastAsia" w:hAnsi="Bookman Old Style" w:cstheme="minorBidi"/>
          <w:b/>
          <w:bCs/>
          <w:lang w:val="es-ES" w:eastAsia="es-ES"/>
        </w:rPr>
        <w:t>/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202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-</w:t>
      </w:r>
      <w:r w:rsidR="00597990">
        <w:rPr>
          <w:rFonts w:ascii="Bookman Old Style" w:eastAsiaTheme="minorEastAsia" w:hAnsi="Bookman Old Style" w:cstheme="minorBidi"/>
          <w:b/>
          <w:bCs/>
          <w:lang w:val="es-ES" w:eastAsia="es-ES"/>
        </w:rPr>
        <w:t>PE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otros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597990">
        <w:rPr>
          <w:rFonts w:ascii="Bookman Old Style" w:eastAsiaTheme="minorEastAsia" w:hAnsi="Bookman Old Style" w:cstheme="minorBidi"/>
          <w:lang w:val="es-ES" w:eastAsia="es-ES"/>
        </w:rPr>
        <w:t xml:space="preserve">, la </w:t>
      </w:r>
      <w:r w:rsidR="00C73BA8" w:rsidRPr="00C73BA8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 w:rsidR="003B7D9D"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798A3C46" w14:textId="5B86D599" w:rsidR="00D87EC1" w:rsidRDefault="00D87EC1" w:rsidP="00C73BA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</w:t>
      </w:r>
      <w:r w:rsidR="007977AD"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2742/2022-CR</w:t>
      </w:r>
      <w:r w:rsidR="007977AD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7977AD" w:rsidRPr="007977AD">
        <w:rPr>
          <w:rFonts w:ascii="Bookman Old Style" w:eastAsiaTheme="minorEastAsia" w:hAnsi="Bookman Old Style" w:cstheme="minorBidi"/>
          <w:lang w:val="es-ES" w:eastAsia="es-ES"/>
        </w:rPr>
        <w:t>, con texto sustitutorio, l</w:t>
      </w:r>
      <w:r w:rsidR="007977AD">
        <w:rPr>
          <w:rFonts w:ascii="Bookman Old Style" w:eastAsiaTheme="minorEastAsia" w:hAnsi="Bookman Old Style" w:cstheme="minorBidi"/>
          <w:lang w:val="es-ES" w:eastAsia="es-ES"/>
        </w:rPr>
        <w:t>a</w:t>
      </w:r>
      <w:r w:rsidR="007977AD" w:rsidRPr="007977A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7977AD"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el Decreto Legislativo 1107, Decreto Legislativo que establece medidas de control y fiscalización en la distribución, transporte y comercialización de maquinarias y equipos que puedan ser utilizados en la minería ilegal, así como del producto minero obtenido en dicha actividad</w:t>
      </w:r>
      <w:r w:rsidR="008E64B6"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>, a fin de autorizar la comercialización de productos mineros a los proveedores que se encuentran inscritos en el Registro Integral de Formalización Minera (REINFO) u otros registros</w:t>
      </w:r>
      <w:r w:rsidR="007977AD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9290ADF" w14:textId="652320D1" w:rsidR="00F575ED" w:rsidRDefault="00F575ED" w:rsidP="00040F7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Acuerdo de la Comisión de Energía y Minas para solicitar a la Presidencia del Congreso de la República la programación y realización de un Pleno </w:t>
      </w:r>
      <w:r w:rsidR="00E90763">
        <w:rPr>
          <w:rFonts w:ascii="Bookman Old Style" w:eastAsiaTheme="minorEastAsia" w:hAnsi="Bookman Old Style" w:cstheme="minorBidi"/>
          <w:lang w:val="es-ES" w:eastAsia="es-ES"/>
        </w:rPr>
        <w:t>exclusivo para tratar los temas del sector Energía, Minas e Hidrocarburos, antes de fin de año</w:t>
      </w:r>
      <w:r w:rsidR="00501D3B">
        <w:rPr>
          <w:rFonts w:ascii="Bookman Old Style" w:eastAsiaTheme="minorEastAsia" w:hAnsi="Bookman Old Style" w:cstheme="minorBidi"/>
          <w:lang w:val="es-ES" w:eastAsia="es-ES"/>
        </w:rPr>
        <w:t xml:space="preserve"> del 2022</w:t>
      </w:r>
      <w:r w:rsidR="00E90763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FAECC25" w14:textId="263969C1" w:rsidR="00373AFE" w:rsidRDefault="00373AFE" w:rsidP="00040F7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Delegar al </w:t>
      </w:r>
      <w:r w:rsidR="00C87478"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Grupo de Trabajo </w:t>
      </w:r>
      <w:r w:rsidR="00C87478" w:rsidRPr="008E64B6">
        <w:rPr>
          <w:rFonts w:ascii="Bookman Old Style" w:hAnsi="Bookman Old Style" w:cs="Arial"/>
          <w:i/>
          <w:iCs/>
        </w:rPr>
        <w:t>de Hidrocarburos</w:t>
      </w:r>
      <w:r w:rsidR="00C87478">
        <w:rPr>
          <w:rFonts w:ascii="Bookman Old Style" w:hAnsi="Bookman Old Style" w:cs="Arial"/>
        </w:rPr>
        <w:t xml:space="preserve"> dar atención al Oficio </w:t>
      </w:r>
      <w:proofErr w:type="spellStart"/>
      <w:r w:rsidR="00C87478">
        <w:rPr>
          <w:rFonts w:ascii="Bookman Old Style" w:hAnsi="Bookman Old Style" w:cs="Arial"/>
        </w:rPr>
        <w:t>N°</w:t>
      </w:r>
      <w:proofErr w:type="spellEnd"/>
      <w:r w:rsidR="00C87478">
        <w:rPr>
          <w:rFonts w:ascii="Bookman Old Style" w:hAnsi="Bookman Old Style" w:cs="Arial"/>
        </w:rPr>
        <w:t xml:space="preserve"> 041-2022-2023-ADP-CD/CR y </w:t>
      </w:r>
      <w:r>
        <w:rPr>
          <w:rFonts w:ascii="Bookman Old Style" w:eastAsiaTheme="minorEastAsia" w:hAnsi="Bookman Old Style" w:cstheme="minorBidi"/>
          <w:lang w:val="es-ES" w:eastAsia="es-ES"/>
        </w:rPr>
        <w:t>proponer al Pleno de la Comisión, las respuestas a las preguntas formulada</w:t>
      </w:r>
      <w:r w:rsidR="00AB1F49">
        <w:rPr>
          <w:rFonts w:ascii="Bookman Old Style" w:eastAsiaTheme="minorEastAsia" w:hAnsi="Bookman Old Style" w:cstheme="minorBidi"/>
          <w:lang w:val="es-ES" w:eastAsia="es-ES"/>
        </w:rPr>
        <w:t>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por PETROPERÚ respecto a las disposiciones de las Leyes 30130 y 30357, en el marco de la operación del Lote 192.</w:t>
      </w:r>
    </w:p>
    <w:p w14:paraId="02285EF3" w14:textId="4DFBA149" w:rsidR="00AB1F49" w:rsidRPr="00452019" w:rsidRDefault="00AB1F49" w:rsidP="00040F7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452019">
        <w:rPr>
          <w:rFonts w:ascii="Bookman Old Style" w:eastAsiaTheme="minorEastAsia" w:hAnsi="Bookman Old Style" w:cstheme="minorBidi"/>
          <w:lang w:val="es-ES" w:eastAsia="es-ES"/>
        </w:rPr>
        <w:t xml:space="preserve">Delegar al </w:t>
      </w:r>
      <w:r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Grupo de Trabajo </w:t>
      </w:r>
      <w:r w:rsidR="008E64B6"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Situación de la </w:t>
      </w:r>
      <w:r w:rsidR="008E64B6" w:rsidRPr="008E64B6">
        <w:rPr>
          <w:rFonts w:ascii="Bookman Old Style" w:hAnsi="Bookman Old Style" w:cs="Arial"/>
          <w:i/>
          <w:iCs/>
        </w:rPr>
        <w:t>minería</w:t>
      </w:r>
      <w:r w:rsidRPr="008E64B6">
        <w:rPr>
          <w:rFonts w:ascii="Bookman Old Style" w:hAnsi="Bookman Old Style" w:cs="Arial"/>
          <w:i/>
          <w:iCs/>
        </w:rPr>
        <w:t xml:space="preserve"> en los departamentos de Huancavelica, Moquegua, Cajamarca, La Libertad y Ayacucho</w:t>
      </w:r>
      <w:r w:rsidRPr="00452019">
        <w:rPr>
          <w:rFonts w:ascii="Bookman Old Style" w:hAnsi="Bookman Old Style" w:cs="Arial"/>
        </w:rPr>
        <w:t xml:space="preserve"> la evaluación de la Moción de Orden del Día 752, mediante el cual se propone constituir una comisión especial multipartidaria que permite el seguimiento, evaluación y cumplimiento de los acuerdos y compromisos derivados de la problemática social con l</w:t>
      </w:r>
      <w:r w:rsidR="00452019">
        <w:rPr>
          <w:rFonts w:ascii="Bookman Old Style" w:hAnsi="Bookman Old Style" w:cs="Arial"/>
        </w:rPr>
        <w:t>a</w:t>
      </w:r>
      <w:r w:rsidRPr="00452019">
        <w:rPr>
          <w:rFonts w:ascii="Bookman Old Style" w:hAnsi="Bookman Old Style" w:cs="Arial"/>
        </w:rPr>
        <w:t xml:space="preserve"> empresa minera Las Bambas S.A.  la región Apurímac.</w:t>
      </w:r>
    </w:p>
    <w:p w14:paraId="5D842E6F" w14:textId="43FDC2DA" w:rsidR="00673DAA" w:rsidRDefault="00040F70" w:rsidP="00040F7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Audiencia</w:t>
      </w:r>
      <w:r w:rsidR="00EE450A">
        <w:rPr>
          <w:rFonts w:ascii="Bookman Old Style" w:eastAsiaTheme="minorEastAsia" w:hAnsi="Bookman Old Style" w:cstheme="minorBidi"/>
          <w:lang w:val="es-ES" w:eastAsia="es-ES"/>
        </w:rPr>
        <w:t>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Pública</w:t>
      </w:r>
      <w:r w:rsidR="00EE450A">
        <w:rPr>
          <w:rFonts w:ascii="Bookman Old Style" w:eastAsiaTheme="minorEastAsia" w:hAnsi="Bookman Old Style" w:cstheme="minorBidi"/>
          <w:lang w:val="es-ES" w:eastAsia="es-ES"/>
        </w:rPr>
        <w:t>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Descentralizada</w:t>
      </w:r>
      <w:r w:rsidR="00EE450A">
        <w:rPr>
          <w:rFonts w:ascii="Bookman Old Style" w:eastAsiaTheme="minorEastAsia" w:hAnsi="Bookman Old Style" w:cstheme="minorBidi"/>
          <w:lang w:val="es-ES" w:eastAsia="es-ES"/>
        </w:rPr>
        <w:t>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realizarse en </w:t>
      </w:r>
      <w:r w:rsidR="00EE450A">
        <w:rPr>
          <w:rFonts w:ascii="Bookman Old Style" w:eastAsiaTheme="minorEastAsia" w:hAnsi="Bookman Old Style" w:cstheme="minorBidi"/>
          <w:lang w:val="es-ES" w:eastAsia="es-ES"/>
        </w:rPr>
        <w:t>los departamentos de Loreto y La Libertad, los días 18 y 23 de noviembre de 2022.</w:t>
      </w:r>
    </w:p>
    <w:p w14:paraId="07C08FB6" w14:textId="77777777" w:rsidR="000D3C23" w:rsidRDefault="000D3C23" w:rsidP="000D3C23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Conformación del Consejo Consultivo de la Comisión de Energía y Minas para el Período de Sesiones 2022-2023.</w:t>
      </w:r>
    </w:p>
    <w:p w14:paraId="541AB64A" w14:textId="4598E428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936FBA">
        <w:rPr>
          <w:rFonts w:ascii="Bookman Old Style" w:eastAsia="Times New Roman" w:hAnsi="Bookman Old Style" w:cs="Arial"/>
          <w:lang w:val="es-ES" w:eastAsia="es-ES"/>
        </w:rPr>
        <w:t>1</w:t>
      </w:r>
      <w:r w:rsidR="000D3C23">
        <w:rPr>
          <w:rFonts w:ascii="Bookman Old Style" w:eastAsia="Times New Roman" w:hAnsi="Bookman Old Style" w:cs="Arial"/>
          <w:lang w:val="es-ES" w:eastAsia="es-ES"/>
        </w:rPr>
        <w:t>4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2C0BE9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004018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6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18"/>
  </w:num>
  <w:num w:numId="2" w16cid:durableId="1278681775">
    <w:abstractNumId w:val="3"/>
  </w:num>
  <w:num w:numId="3" w16cid:durableId="1344668372">
    <w:abstractNumId w:val="14"/>
  </w:num>
  <w:num w:numId="4" w16cid:durableId="1552961548">
    <w:abstractNumId w:val="26"/>
  </w:num>
  <w:num w:numId="5" w16cid:durableId="915627788">
    <w:abstractNumId w:val="1"/>
  </w:num>
  <w:num w:numId="6" w16cid:durableId="1651713259">
    <w:abstractNumId w:val="33"/>
  </w:num>
  <w:num w:numId="7" w16cid:durableId="1424376064">
    <w:abstractNumId w:val="23"/>
  </w:num>
  <w:num w:numId="8" w16cid:durableId="1550343770">
    <w:abstractNumId w:val="24"/>
  </w:num>
  <w:num w:numId="9" w16cid:durableId="129134993">
    <w:abstractNumId w:val="5"/>
  </w:num>
  <w:num w:numId="10" w16cid:durableId="1406299703">
    <w:abstractNumId w:val="34"/>
  </w:num>
  <w:num w:numId="11" w16cid:durableId="512456427">
    <w:abstractNumId w:val="22"/>
  </w:num>
  <w:num w:numId="12" w16cid:durableId="486677035">
    <w:abstractNumId w:val="28"/>
  </w:num>
  <w:num w:numId="13" w16cid:durableId="191187991">
    <w:abstractNumId w:val="39"/>
  </w:num>
  <w:num w:numId="14" w16cid:durableId="630088290">
    <w:abstractNumId w:val="38"/>
  </w:num>
  <w:num w:numId="15" w16cid:durableId="911890407">
    <w:abstractNumId w:val="9"/>
  </w:num>
  <w:num w:numId="16" w16cid:durableId="1103383644">
    <w:abstractNumId w:val="37"/>
  </w:num>
  <w:num w:numId="17" w16cid:durableId="445736169">
    <w:abstractNumId w:val="35"/>
  </w:num>
  <w:num w:numId="18" w16cid:durableId="1964000883">
    <w:abstractNumId w:val="16"/>
  </w:num>
  <w:num w:numId="19" w16cid:durableId="1906915452">
    <w:abstractNumId w:val="0"/>
  </w:num>
  <w:num w:numId="20" w16cid:durableId="1990135610">
    <w:abstractNumId w:val="21"/>
  </w:num>
  <w:num w:numId="21" w16cid:durableId="1203862383">
    <w:abstractNumId w:val="15"/>
  </w:num>
  <w:num w:numId="22" w16cid:durableId="2126074623">
    <w:abstractNumId w:val="17"/>
  </w:num>
  <w:num w:numId="23" w16cid:durableId="2020279287">
    <w:abstractNumId w:val="30"/>
  </w:num>
  <w:num w:numId="24" w16cid:durableId="795684235">
    <w:abstractNumId w:val="6"/>
  </w:num>
  <w:num w:numId="25" w16cid:durableId="863908182">
    <w:abstractNumId w:val="8"/>
  </w:num>
  <w:num w:numId="26" w16cid:durableId="1040473337">
    <w:abstractNumId w:val="7"/>
  </w:num>
  <w:num w:numId="27" w16cid:durableId="712508309">
    <w:abstractNumId w:val="19"/>
  </w:num>
  <w:num w:numId="28" w16cid:durableId="509101655">
    <w:abstractNumId w:val="20"/>
  </w:num>
  <w:num w:numId="29" w16cid:durableId="81536769">
    <w:abstractNumId w:val="10"/>
  </w:num>
  <w:num w:numId="30" w16cid:durableId="125200661">
    <w:abstractNumId w:val="36"/>
  </w:num>
  <w:num w:numId="31" w16cid:durableId="768812529">
    <w:abstractNumId w:val="2"/>
  </w:num>
  <w:num w:numId="32" w16cid:durableId="656493539">
    <w:abstractNumId w:val="11"/>
  </w:num>
  <w:num w:numId="33" w16cid:durableId="1505509138">
    <w:abstractNumId w:val="4"/>
  </w:num>
  <w:num w:numId="34" w16cid:durableId="1146778602">
    <w:abstractNumId w:val="12"/>
  </w:num>
  <w:num w:numId="35" w16cid:durableId="1424491734">
    <w:abstractNumId w:val="31"/>
  </w:num>
  <w:num w:numId="36" w16cid:durableId="84765275">
    <w:abstractNumId w:val="32"/>
  </w:num>
  <w:num w:numId="37" w16cid:durableId="1492520050">
    <w:abstractNumId w:val="27"/>
  </w:num>
  <w:num w:numId="38" w16cid:durableId="1952007251">
    <w:abstractNumId w:val="40"/>
  </w:num>
  <w:num w:numId="39" w16cid:durableId="1305240496">
    <w:abstractNumId w:val="29"/>
  </w:num>
  <w:num w:numId="40" w16cid:durableId="1529298864">
    <w:abstractNumId w:val="13"/>
  </w:num>
  <w:num w:numId="41" w16cid:durableId="141369961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061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3C23"/>
    <w:rsid w:val="000D547D"/>
    <w:rsid w:val="000D7429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FD8"/>
    <w:rsid w:val="002A3A0E"/>
    <w:rsid w:val="002A4EAE"/>
    <w:rsid w:val="002A5321"/>
    <w:rsid w:val="002A7EBD"/>
    <w:rsid w:val="002B077D"/>
    <w:rsid w:val="002B1C1C"/>
    <w:rsid w:val="002B2D7E"/>
    <w:rsid w:val="002B2E6A"/>
    <w:rsid w:val="002B36C4"/>
    <w:rsid w:val="002B7C65"/>
    <w:rsid w:val="002C032A"/>
    <w:rsid w:val="002C0BE9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6DC"/>
    <w:rsid w:val="003F7DAE"/>
    <w:rsid w:val="00400210"/>
    <w:rsid w:val="00406901"/>
    <w:rsid w:val="004108A9"/>
    <w:rsid w:val="0041222A"/>
    <w:rsid w:val="00413E43"/>
    <w:rsid w:val="004171EE"/>
    <w:rsid w:val="00417DB5"/>
    <w:rsid w:val="00422689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019"/>
    <w:rsid w:val="0045224F"/>
    <w:rsid w:val="00452970"/>
    <w:rsid w:val="00452FE4"/>
    <w:rsid w:val="00454716"/>
    <w:rsid w:val="00456A8D"/>
    <w:rsid w:val="00460C3B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F26EF"/>
    <w:rsid w:val="004F3ED0"/>
    <w:rsid w:val="004F3F45"/>
    <w:rsid w:val="004F4049"/>
    <w:rsid w:val="004F5EC2"/>
    <w:rsid w:val="005001D3"/>
    <w:rsid w:val="00501D3B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20EA"/>
    <w:rsid w:val="00552161"/>
    <w:rsid w:val="005560DC"/>
    <w:rsid w:val="0055682C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1E7"/>
    <w:rsid w:val="0058333B"/>
    <w:rsid w:val="00586CB5"/>
    <w:rsid w:val="005923A9"/>
    <w:rsid w:val="005924EF"/>
    <w:rsid w:val="00594CE7"/>
    <w:rsid w:val="00595A11"/>
    <w:rsid w:val="00597407"/>
    <w:rsid w:val="005974AF"/>
    <w:rsid w:val="00597990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580C"/>
    <w:rsid w:val="006064C4"/>
    <w:rsid w:val="00612C6E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54D8"/>
    <w:rsid w:val="006855DC"/>
    <w:rsid w:val="006862AC"/>
    <w:rsid w:val="00687077"/>
    <w:rsid w:val="006879A9"/>
    <w:rsid w:val="00687A3F"/>
    <w:rsid w:val="00687FAD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25E4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E623A"/>
    <w:rsid w:val="007F3B94"/>
    <w:rsid w:val="007F3D0A"/>
    <w:rsid w:val="0080095E"/>
    <w:rsid w:val="00803F3B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303F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0EA3"/>
    <w:rsid w:val="00936FBA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4E01"/>
    <w:rsid w:val="00A265B4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56FAC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BA8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71D9"/>
    <w:rsid w:val="00C87478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596A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A7A"/>
    <w:rsid w:val="00EC5B60"/>
    <w:rsid w:val="00EC6EF3"/>
    <w:rsid w:val="00ED4078"/>
    <w:rsid w:val="00ED6677"/>
    <w:rsid w:val="00ED786A"/>
    <w:rsid w:val="00EE15F8"/>
    <w:rsid w:val="00EE1D91"/>
    <w:rsid w:val="00EE450A"/>
    <w:rsid w:val="00EE58AF"/>
    <w:rsid w:val="00EF02D1"/>
    <w:rsid w:val="00EF031B"/>
    <w:rsid w:val="00EF39A5"/>
    <w:rsid w:val="00EF63EE"/>
    <w:rsid w:val="00F00208"/>
    <w:rsid w:val="00F00C84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5BDF"/>
    <w:rsid w:val="00F85CFA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10</cp:revision>
  <cp:lastPrinted>2022-11-15T15:08:00Z</cp:lastPrinted>
  <dcterms:created xsi:type="dcterms:W3CDTF">2022-11-12T00:35:00Z</dcterms:created>
  <dcterms:modified xsi:type="dcterms:W3CDTF">2022-11-15T16:58:00Z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