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6AB5E530" w:rsidR="00AC6F83" w:rsidRDefault="00EE1D91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A4B1AA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EE1D91">
        <w:rPr>
          <w:rFonts w:ascii="Bookman Old Style" w:hAnsi="Bookman Old Style" w:cs="Arial"/>
        </w:rPr>
        <w:t>14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854DE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6B63E15F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EE1D91">
        <w:rPr>
          <w:rFonts w:ascii="Bookman Old Style" w:hAnsi="Bookman Old Style" w:cs="Arial"/>
        </w:rPr>
        <w:t xml:space="preserve">Segunda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>Ordinaria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EE1D91">
        <w:rPr>
          <w:rFonts w:ascii="Bookman Old Style" w:hAnsi="Bookman Old Style" w:cs="Arial"/>
        </w:rPr>
        <w:t>7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EE1D91">
        <w:rPr>
          <w:rFonts w:ascii="Bookman Old Style" w:hAnsi="Bookman Old Style" w:cs="Arial"/>
        </w:rPr>
        <w:t>setiembre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9292615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62AC3">
        <w:rPr>
          <w:rFonts w:ascii="Bookman Old Style" w:hAnsi="Bookman Old Style" w:cs="Arial"/>
        </w:rPr>
        <w:t>6</w:t>
      </w:r>
      <w:r w:rsidR="00F854DE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 xml:space="preserve">al </w:t>
      </w:r>
      <w:r w:rsidR="00462AC3">
        <w:rPr>
          <w:rFonts w:ascii="Bookman Old Style" w:hAnsi="Bookman Old Style" w:cs="Arial"/>
        </w:rPr>
        <w:t>12</w:t>
      </w:r>
      <w:r w:rsidR="00E50BE0">
        <w:rPr>
          <w:rFonts w:ascii="Bookman Old Style" w:hAnsi="Bookman Old Style" w:cs="Arial"/>
        </w:rPr>
        <w:t xml:space="preserve"> de </w:t>
      </w:r>
      <w:r w:rsidR="00C15465">
        <w:rPr>
          <w:rFonts w:ascii="Bookman Old Style" w:hAnsi="Bookman Old Style" w:cs="Arial"/>
        </w:rPr>
        <w:t>setiembre</w:t>
      </w:r>
      <w:r w:rsidR="00E50BE0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C4CAE3E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15465">
        <w:rPr>
          <w:rFonts w:ascii="Bookman Old Style" w:hAnsi="Bookman Old Style" w:cs="Arial"/>
        </w:rPr>
        <w:t xml:space="preserve">6 al </w:t>
      </w:r>
      <w:r w:rsidR="00462AC3">
        <w:rPr>
          <w:rFonts w:ascii="Bookman Old Style" w:hAnsi="Bookman Old Style" w:cs="Arial"/>
        </w:rPr>
        <w:t>12</w:t>
      </w:r>
      <w:r w:rsidR="00C15465">
        <w:rPr>
          <w:rFonts w:ascii="Bookman Old Style" w:hAnsi="Bookman Old Style" w:cs="Arial"/>
        </w:rPr>
        <w:t xml:space="preserve"> de setiembre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37479A0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0A28B7B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36DDB10" w14:textId="0F6B210D" w:rsidR="005831E7" w:rsidRDefault="005831E7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ingeniero </w:t>
      </w:r>
      <w:r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>Humberto Campodónico Sánchez</w:t>
      </w:r>
      <w:r>
        <w:rPr>
          <w:rFonts w:ascii="Bookman Old Style" w:eastAsiaTheme="minorEastAsia" w:hAnsi="Bookman Old Style" w:cstheme="minorBidi"/>
          <w:lang w:val="es-ES" w:eastAsia="es-ES"/>
        </w:rPr>
        <w:t>, presidente de Petróleos del Perú (</w:t>
      </w:r>
      <w:r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>Petroperú S.A.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) para que informe respecto a </w:t>
      </w:r>
      <w:r w:rsidRPr="005831E7">
        <w:rPr>
          <w:rFonts w:ascii="Bookman Old Style" w:eastAsiaTheme="minorEastAsia" w:hAnsi="Bookman Old Style" w:cstheme="minorBidi"/>
          <w:lang w:val="es-ES" w:eastAsia="es-ES"/>
        </w:rPr>
        <w:t>la situación actual de la empresa Petroperú S.A., detallando la problemática respecto al transporte, refinación, distribución y comercialización de combustibles y otros productos derivados del petróleo; asimismo, de las proyecciones de inversión a realizar en los próximos años en la exploración y explotación que permita el desarrollo sostenible de la empresa y de la industria energética en el Perú</w:t>
      </w:r>
      <w:r w:rsidR="00930EA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DE63437" w14:textId="2D069D45" w:rsidR="00C3032B" w:rsidRDefault="00C04CB0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Sustentación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C04CB0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2557/2021-CR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C04CB0">
        <w:rPr>
          <w:rFonts w:ascii="Bookman Old Style" w:eastAsiaTheme="minorEastAsia" w:hAnsi="Bookman Old Style" w:cstheme="minorBidi"/>
          <w:lang w:val="es-ES" w:eastAsia="es-ES"/>
        </w:rPr>
        <w:t xml:space="preserve">promover el desarrollo de la industria petroquímica para la producción de amoníaco y urea como fertilizante teniendo como insumo el gas natural, con responsabilidad social y ambiental en el distrito de </w:t>
      </w:r>
      <w:r>
        <w:rPr>
          <w:rFonts w:ascii="Bookman Old Style" w:eastAsiaTheme="minorEastAsia" w:hAnsi="Bookman Old Style" w:cstheme="minorBidi"/>
          <w:lang w:val="es-ES" w:eastAsia="es-ES"/>
        </w:rPr>
        <w:t>V</w:t>
      </w:r>
      <w:r w:rsidRPr="00C04CB0">
        <w:rPr>
          <w:rFonts w:ascii="Bookman Old Style" w:eastAsiaTheme="minorEastAsia" w:hAnsi="Bookman Old Style" w:cstheme="minorBidi"/>
          <w:lang w:val="es-ES" w:eastAsia="es-ES"/>
        </w:rPr>
        <w:t xml:space="preserve">ice, provincia de 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C04CB0">
        <w:rPr>
          <w:rFonts w:ascii="Bookman Old Style" w:eastAsiaTheme="minorEastAsia" w:hAnsi="Bookman Old Style" w:cstheme="minorBidi"/>
          <w:lang w:val="es-ES" w:eastAsia="es-ES"/>
        </w:rPr>
        <w:t xml:space="preserve">echura y departamento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C04CB0">
        <w:rPr>
          <w:rFonts w:ascii="Bookman Old Style" w:eastAsiaTheme="minorEastAsia" w:hAnsi="Bookman Old Style" w:cstheme="minorBidi"/>
          <w:lang w:val="es-ES" w:eastAsia="es-ES"/>
        </w:rPr>
        <w:t>iura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Miguel Ángel </w:t>
      </w:r>
      <w:proofErr w:type="spellStart"/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>Ciccia</w:t>
      </w:r>
      <w:proofErr w:type="spellEnd"/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Vásquez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0A8A40B" w14:textId="4BC2A5AE" w:rsidR="005139D2" w:rsidRDefault="005139D2" w:rsidP="005139D2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Sustentación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2742/2021-CR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5B3294">
        <w:rPr>
          <w:rFonts w:ascii="Bookman Old Style" w:eastAsiaTheme="minorEastAsia" w:hAnsi="Bookman Old Style" w:cstheme="minorBidi"/>
          <w:lang w:val="es-ES" w:eastAsia="es-ES"/>
        </w:rPr>
        <w:t xml:space="preserve">modificar el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5B3294">
        <w:rPr>
          <w:rFonts w:ascii="Bookman Old Style" w:eastAsiaTheme="minorEastAsia" w:hAnsi="Bookman Old Style" w:cstheme="minorBidi"/>
          <w:lang w:val="es-ES" w:eastAsia="es-ES"/>
        </w:rPr>
        <w:t xml:space="preserve">ecreto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5B3294">
        <w:rPr>
          <w:rFonts w:ascii="Bookman Old Style" w:eastAsiaTheme="minorEastAsia" w:hAnsi="Bookman Old Style" w:cstheme="minorBidi"/>
          <w:lang w:val="es-ES" w:eastAsia="es-ES"/>
        </w:rPr>
        <w:t xml:space="preserve">egislativo 1107,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5B3294">
        <w:rPr>
          <w:rFonts w:ascii="Bookman Old Style" w:eastAsiaTheme="minorEastAsia" w:hAnsi="Bookman Old Style" w:cstheme="minorBidi"/>
          <w:lang w:val="es-ES" w:eastAsia="es-ES"/>
        </w:rPr>
        <w:t xml:space="preserve">ecreto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5B3294">
        <w:rPr>
          <w:rFonts w:ascii="Bookman Old Style" w:eastAsiaTheme="minorEastAsia" w:hAnsi="Bookman Old Style" w:cstheme="minorBidi"/>
          <w:lang w:val="es-ES" w:eastAsia="es-ES"/>
        </w:rPr>
        <w:t>egislativo que establece medidas de control y fiscalización en la distribución, transporte y comercialización de maquinarias y equipos que puedan ser utilizados en la minería ilegal, así como del producto minero obtenido en dicha actividad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Eduardo </w:t>
      </w:r>
      <w:proofErr w:type="spellStart"/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>Salhuana</w:t>
      </w:r>
      <w:proofErr w:type="spellEnd"/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 w:rsidRPr="005B3294">
        <w:rPr>
          <w:rFonts w:ascii="Bookman Old Style" w:eastAsiaTheme="minorEastAsia" w:hAnsi="Bookman Old Style" w:cstheme="minorBidi"/>
          <w:b/>
          <w:bCs/>
          <w:lang w:val="es-ES" w:eastAsia="es-ES"/>
        </w:rPr>
        <w:t>Cavides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8A0FA6F" w14:textId="77777777" w:rsidR="000D7429" w:rsidRDefault="000D7429" w:rsidP="000D742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dictamen de insistencia recaído en las observaciones del Presidente de la República a la Autógrafa derivada del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109/2021-CR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Ley que promueve la descontaminación ambiental y establece el retiro del cableado aéreo en desuso o en mal estado en las zonas urbanas del país.</w:t>
      </w:r>
    </w:p>
    <w:p w14:paraId="22B433A4" w14:textId="77777777" w:rsidR="000D7429" w:rsidRDefault="000D7429" w:rsidP="000D742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Propuesta de acuerdo para solicitar a la Presidencia del Congreso de la República poner a consideración de la Junta de Portavoces la ampliación de la Agenda del Pleno y la priorización de su debate del dictamen recaído en los </w:t>
      </w:r>
      <w:r w:rsidRPr="00C36E0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2097/2021-CR y 2299/2021-CR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la </w:t>
      </w:r>
      <w:r w:rsidRPr="00031B66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y necesidad pública la puesta en operación de la refinería de Pucallpa y la modernización de la refinería de Iquitos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FB89E63" w14:textId="186C6A72" w:rsidR="00CC5333" w:rsidRPr="00CD4059" w:rsidRDefault="00E970C6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Programación de Audiencias Públicas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de la Comisión de Energía y Minas correspondiente 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p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rimera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egislatura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 xml:space="preserve">del Periodo de Sesiones 2022 -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2023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3C82F32E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970C6">
        <w:rPr>
          <w:rFonts w:ascii="Bookman Old Style" w:eastAsia="Times New Roman" w:hAnsi="Bookman Old Style" w:cs="Arial"/>
          <w:lang w:val="es-ES" w:eastAsia="es-ES"/>
        </w:rPr>
        <w:t>13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15465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0E0" w14:textId="77777777" w:rsidR="00544703" w:rsidRDefault="00544703">
      <w:pPr>
        <w:spacing w:after="0" w:line="240" w:lineRule="auto"/>
      </w:pPr>
      <w:r>
        <w:separator/>
      </w:r>
    </w:p>
  </w:endnote>
  <w:endnote w:type="continuationSeparator" w:id="0">
    <w:p w14:paraId="18D152AF" w14:textId="77777777" w:rsidR="00544703" w:rsidRDefault="005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CB6" w14:textId="77777777" w:rsidR="00544703" w:rsidRDefault="00544703">
      <w:pPr>
        <w:spacing w:after="0" w:line="240" w:lineRule="auto"/>
      </w:pPr>
      <w:r>
        <w:separator/>
      </w:r>
    </w:p>
  </w:footnote>
  <w:footnote w:type="continuationSeparator" w:id="0">
    <w:p w14:paraId="5513DE28" w14:textId="77777777" w:rsidR="00544703" w:rsidRDefault="005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DB7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683240">
    <w:abstractNumId w:val="17"/>
  </w:num>
  <w:num w:numId="2" w16cid:durableId="781342126">
    <w:abstractNumId w:val="3"/>
  </w:num>
  <w:num w:numId="3" w16cid:durableId="279533836">
    <w:abstractNumId w:val="13"/>
  </w:num>
  <w:num w:numId="4" w16cid:durableId="1277562095">
    <w:abstractNumId w:val="24"/>
  </w:num>
  <w:num w:numId="5" w16cid:durableId="2073960176">
    <w:abstractNumId w:val="1"/>
  </w:num>
  <w:num w:numId="6" w16cid:durableId="1467579396">
    <w:abstractNumId w:val="28"/>
  </w:num>
  <w:num w:numId="7" w16cid:durableId="1421566768">
    <w:abstractNumId w:val="22"/>
  </w:num>
  <w:num w:numId="8" w16cid:durableId="60104368">
    <w:abstractNumId w:val="23"/>
  </w:num>
  <w:num w:numId="9" w16cid:durableId="1719084416">
    <w:abstractNumId w:val="5"/>
  </w:num>
  <w:num w:numId="10" w16cid:durableId="427694919">
    <w:abstractNumId w:val="29"/>
  </w:num>
  <w:num w:numId="11" w16cid:durableId="2056806546">
    <w:abstractNumId w:val="21"/>
  </w:num>
  <w:num w:numId="12" w16cid:durableId="1075662070">
    <w:abstractNumId w:val="25"/>
  </w:num>
  <w:num w:numId="13" w16cid:durableId="2129271635">
    <w:abstractNumId w:val="34"/>
  </w:num>
  <w:num w:numId="14" w16cid:durableId="1791702669">
    <w:abstractNumId w:val="33"/>
  </w:num>
  <w:num w:numId="15" w16cid:durableId="731925910">
    <w:abstractNumId w:val="9"/>
  </w:num>
  <w:num w:numId="16" w16cid:durableId="389350545">
    <w:abstractNumId w:val="32"/>
  </w:num>
  <w:num w:numId="17" w16cid:durableId="2054304909">
    <w:abstractNumId w:val="30"/>
  </w:num>
  <w:num w:numId="18" w16cid:durableId="1454398235">
    <w:abstractNumId w:val="15"/>
  </w:num>
  <w:num w:numId="19" w16cid:durableId="320350375">
    <w:abstractNumId w:val="0"/>
  </w:num>
  <w:num w:numId="20" w16cid:durableId="1931237589">
    <w:abstractNumId w:val="20"/>
  </w:num>
  <w:num w:numId="21" w16cid:durableId="1356540802">
    <w:abstractNumId w:val="14"/>
  </w:num>
  <w:num w:numId="22" w16cid:durableId="1825316836">
    <w:abstractNumId w:val="16"/>
  </w:num>
  <w:num w:numId="23" w16cid:durableId="1738281035">
    <w:abstractNumId w:val="26"/>
  </w:num>
  <w:num w:numId="24" w16cid:durableId="1858228003">
    <w:abstractNumId w:val="6"/>
  </w:num>
  <w:num w:numId="25" w16cid:durableId="284115679">
    <w:abstractNumId w:val="8"/>
  </w:num>
  <w:num w:numId="26" w16cid:durableId="1732999386">
    <w:abstractNumId w:val="7"/>
  </w:num>
  <w:num w:numId="27" w16cid:durableId="1393695846">
    <w:abstractNumId w:val="18"/>
  </w:num>
  <w:num w:numId="28" w16cid:durableId="767890297">
    <w:abstractNumId w:val="19"/>
  </w:num>
  <w:num w:numId="29" w16cid:durableId="1939756394">
    <w:abstractNumId w:val="10"/>
  </w:num>
  <w:num w:numId="30" w16cid:durableId="2020815017">
    <w:abstractNumId w:val="31"/>
  </w:num>
  <w:num w:numId="31" w16cid:durableId="633633069">
    <w:abstractNumId w:val="2"/>
  </w:num>
  <w:num w:numId="32" w16cid:durableId="1410619547">
    <w:abstractNumId w:val="11"/>
  </w:num>
  <w:num w:numId="33" w16cid:durableId="1762333992">
    <w:abstractNumId w:val="4"/>
  </w:num>
  <w:num w:numId="34" w16cid:durableId="690834663">
    <w:abstractNumId w:val="12"/>
  </w:num>
  <w:num w:numId="35" w16cid:durableId="17670031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1F9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90413"/>
    <w:rsid w:val="00690D10"/>
    <w:rsid w:val="00691276"/>
    <w:rsid w:val="00691687"/>
    <w:rsid w:val="00692125"/>
    <w:rsid w:val="00692FF2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47904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15529-01C4-4402-B93E-9288848E3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2022-09-12T23:48:00Z</cp:lastPrinted>
  <dcterms:created xsi:type="dcterms:W3CDTF">2022-09-12T16:03:00Z</dcterms:created>
  <dcterms:modified xsi:type="dcterms:W3CDTF">2022-09-13T14:28:00Z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