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59AD2" w14:textId="77777777" w:rsidR="004923AA" w:rsidRDefault="004923A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F9DCBF1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164874F3" w14:textId="5C7C72C8" w:rsidR="00346588" w:rsidRDefault="00854187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33C0D617" w:rsidR="00AC6F83" w:rsidRDefault="004B2DB2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994">
        <w:rPr>
          <w:rFonts w:ascii="Bookman Old Style" w:hAnsi="Bookman Old Style" w:cs="Arial"/>
          <w:b/>
          <w:sz w:val="24"/>
          <w:szCs w:val="24"/>
        </w:rPr>
        <w:t>CUARTA</w:t>
      </w:r>
      <w:r w:rsidR="006C23A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1443E889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7D5994">
        <w:rPr>
          <w:rFonts w:ascii="Bookman Old Style" w:hAnsi="Bookman Old Style" w:cs="Arial"/>
        </w:rPr>
        <w:t>2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7D5994">
        <w:rPr>
          <w:rFonts w:ascii="Bookman Old Style" w:hAnsi="Bookman Old Style" w:cs="Arial"/>
        </w:rPr>
        <w:t>marzo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76394640" w14:textId="55010B6B" w:rsidR="002A26C5" w:rsidRDefault="001F349B" w:rsidP="0095229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6C23A0">
        <w:rPr>
          <w:rFonts w:ascii="Bookman Old Style" w:hAnsi="Bookman Old Style" w:cs="Arial"/>
        </w:rPr>
        <w:t xml:space="preserve">Décima </w:t>
      </w:r>
      <w:r w:rsidR="007D5994">
        <w:rPr>
          <w:rFonts w:ascii="Bookman Old Style" w:hAnsi="Bookman Old Style" w:cs="Arial"/>
        </w:rPr>
        <w:t>Tercera</w:t>
      </w:r>
      <w:r w:rsidR="00446E2D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7D5994">
        <w:rPr>
          <w:rFonts w:ascii="Bookman Old Style" w:hAnsi="Bookman Old Style" w:cs="Arial"/>
        </w:rPr>
        <w:t>16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446E2D">
        <w:rPr>
          <w:rFonts w:ascii="Bookman Old Style" w:hAnsi="Bookman Old Style" w:cs="Arial"/>
        </w:rPr>
        <w:t>febrero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42A14D16" w14:textId="13B62702" w:rsidR="008C44AA" w:rsidRPr="007E34AD" w:rsidRDefault="008C44AA" w:rsidP="002A26C5">
      <w:pPr>
        <w:spacing w:after="0" w:line="240" w:lineRule="auto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3783D870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7D5994">
        <w:rPr>
          <w:rFonts w:ascii="Bookman Old Style" w:hAnsi="Bookman Old Style" w:cs="Arial"/>
        </w:rPr>
        <w:t>15</w:t>
      </w:r>
      <w:r w:rsidR="004B2DB2">
        <w:rPr>
          <w:rFonts w:ascii="Bookman Old Style" w:hAnsi="Bookman Old Style" w:cs="Arial"/>
        </w:rPr>
        <w:t xml:space="preserve"> </w:t>
      </w:r>
      <w:r w:rsidR="000341C1">
        <w:rPr>
          <w:rFonts w:ascii="Bookman Old Style" w:hAnsi="Bookman Old Style" w:cs="Arial"/>
        </w:rPr>
        <w:t xml:space="preserve">al </w:t>
      </w:r>
      <w:r w:rsidR="007D5994">
        <w:rPr>
          <w:rFonts w:ascii="Bookman Old Style" w:hAnsi="Bookman Old Style" w:cs="Arial"/>
        </w:rPr>
        <w:t>28</w:t>
      </w:r>
      <w:r w:rsidR="000341C1">
        <w:rPr>
          <w:rFonts w:ascii="Bookman Old Style" w:hAnsi="Bookman Old Style" w:cs="Arial"/>
        </w:rPr>
        <w:t xml:space="preserve"> de febrero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52EA7234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7D5994">
        <w:rPr>
          <w:rFonts w:ascii="Bookman Old Style" w:hAnsi="Bookman Old Style" w:cs="Arial"/>
        </w:rPr>
        <w:t>15</w:t>
      </w:r>
      <w:r w:rsidR="000341C1">
        <w:rPr>
          <w:rFonts w:ascii="Bookman Old Style" w:hAnsi="Bookman Old Style" w:cs="Arial"/>
        </w:rPr>
        <w:t xml:space="preserve"> al </w:t>
      </w:r>
      <w:r w:rsidR="007D5994">
        <w:rPr>
          <w:rFonts w:ascii="Bookman Old Style" w:hAnsi="Bookman Old Style" w:cs="Arial"/>
        </w:rPr>
        <w:t>28</w:t>
      </w:r>
      <w:r w:rsidR="000341C1">
        <w:rPr>
          <w:rFonts w:ascii="Bookman Old Style" w:hAnsi="Bookman Old Style" w:cs="Arial"/>
        </w:rPr>
        <w:t xml:space="preserve"> de febrero</w:t>
      </w:r>
      <w:r w:rsidR="00C37C3E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4B2DB2">
        <w:rPr>
          <w:rFonts w:ascii="Bookman Old Style" w:hAnsi="Bookman Old Style" w:cs="Arial"/>
        </w:rPr>
        <w:t>2</w:t>
      </w:r>
      <w:r w:rsidR="00724C23" w:rsidRPr="6AAAE291">
        <w:rPr>
          <w:rFonts w:ascii="Bookman Old Style" w:hAnsi="Bookman Old Style" w:cs="Arial"/>
        </w:rPr>
        <w:t>.</w:t>
      </w:r>
    </w:p>
    <w:p w14:paraId="72684427" w14:textId="77777777" w:rsidR="000B7F6B" w:rsidRPr="00123111" w:rsidRDefault="000B7F6B" w:rsidP="000B7F6B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</w:t>
      </w:r>
    </w:p>
    <w:p w14:paraId="250B82C8" w14:textId="77777777" w:rsidR="000B7F6B" w:rsidRPr="00123111" w:rsidRDefault="000B7F6B" w:rsidP="000B7F6B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45A4FAD0" w14:textId="1C00CE72" w:rsidR="000B7F6B" w:rsidRDefault="000B7F6B" w:rsidP="00112BCE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 w:rsidR="004923AA">
        <w:rPr>
          <w:rFonts w:ascii="Bookman Old Style" w:hAnsi="Bookman Old Style" w:cs="Arial"/>
          <w:b/>
        </w:rPr>
        <w:t>1292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 xml:space="preserve">propone </w:t>
      </w:r>
      <w:r w:rsidR="00112BCE">
        <w:rPr>
          <w:rFonts w:ascii="Bookman Old Style" w:hAnsi="Bookman Old Style" w:cs="Arial"/>
        </w:rPr>
        <w:t>r</w:t>
      </w:r>
      <w:r w:rsidR="00112BCE" w:rsidRPr="00112BCE">
        <w:rPr>
          <w:rFonts w:ascii="Bookman Old Style" w:hAnsi="Bookman Old Style" w:cs="Arial"/>
        </w:rPr>
        <w:t>egular el teletrabajo como una modalidad laboral en el sector público y privado mediadas por el uso de las Tecnologías de Información y Comunicación (</w:t>
      </w:r>
      <w:proofErr w:type="spellStart"/>
      <w:r w:rsidR="00112BCE" w:rsidRPr="00112BCE">
        <w:rPr>
          <w:rFonts w:ascii="Bookman Old Style" w:hAnsi="Bookman Old Style" w:cs="Arial"/>
        </w:rPr>
        <w:t>TICs</w:t>
      </w:r>
      <w:proofErr w:type="spellEnd"/>
      <w:r w:rsidR="00112BCE" w:rsidRPr="00112BCE">
        <w:rPr>
          <w:rFonts w:ascii="Bookman Old Style" w:hAnsi="Bookman Old Style" w:cs="Arial"/>
        </w:rPr>
        <w:t>).</w:t>
      </w:r>
    </w:p>
    <w:p w14:paraId="6536D454" w14:textId="0D240E91" w:rsidR="000B7F6B" w:rsidRDefault="000B7F6B" w:rsidP="004923AA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 w:rsidR="004923AA">
        <w:rPr>
          <w:rFonts w:ascii="Bookman Old Style" w:hAnsi="Bookman Old Style" w:cs="Arial"/>
          <w:b/>
        </w:rPr>
        <w:t>1331</w:t>
      </w:r>
      <w:r w:rsidRPr="00123111">
        <w:rPr>
          <w:rFonts w:ascii="Bookman Old Style" w:hAnsi="Bookman Old Style" w:cs="Arial"/>
          <w:b/>
        </w:rPr>
        <w:t>/2021-</w:t>
      </w:r>
      <w:r w:rsidR="004923AA">
        <w:rPr>
          <w:rFonts w:ascii="Bookman Old Style" w:hAnsi="Bookman Old Style" w:cs="Arial"/>
          <w:b/>
        </w:rPr>
        <w:t>CR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 xml:space="preserve">propone </w:t>
      </w:r>
      <w:r w:rsidR="004923AA" w:rsidRPr="004923AA">
        <w:rPr>
          <w:rFonts w:ascii="Bookman Old Style" w:hAnsi="Bookman Old Style" w:cs="Arial"/>
        </w:rPr>
        <w:t xml:space="preserve">fortalecer la investigación científica a través de los programas de posgrado en el marco del </w:t>
      </w:r>
      <w:r w:rsidR="004923AA">
        <w:rPr>
          <w:rFonts w:ascii="Bookman Old Style" w:hAnsi="Bookman Old Style" w:cs="Arial"/>
        </w:rPr>
        <w:t>S</w:t>
      </w:r>
      <w:r w:rsidR="004923AA" w:rsidRPr="004923AA">
        <w:rPr>
          <w:rFonts w:ascii="Bookman Old Style" w:hAnsi="Bookman Old Style" w:cs="Arial"/>
        </w:rPr>
        <w:t xml:space="preserve">istema </w:t>
      </w:r>
      <w:r w:rsidR="004923AA">
        <w:rPr>
          <w:rFonts w:ascii="Bookman Old Style" w:hAnsi="Bookman Old Style" w:cs="Arial"/>
        </w:rPr>
        <w:t>N</w:t>
      </w:r>
      <w:r w:rsidR="004923AA" w:rsidRPr="004923AA">
        <w:rPr>
          <w:rFonts w:ascii="Bookman Old Style" w:hAnsi="Bookman Old Style" w:cs="Arial"/>
        </w:rPr>
        <w:t xml:space="preserve">acional de </w:t>
      </w:r>
      <w:r w:rsidR="004923AA">
        <w:rPr>
          <w:rFonts w:ascii="Bookman Old Style" w:hAnsi="Bookman Old Style" w:cs="Arial"/>
        </w:rPr>
        <w:t>C</w:t>
      </w:r>
      <w:r w:rsidR="004923AA" w:rsidRPr="004923AA">
        <w:rPr>
          <w:rFonts w:ascii="Bookman Old Style" w:hAnsi="Bookman Old Style" w:cs="Arial"/>
        </w:rPr>
        <w:t xml:space="preserve">iencia, </w:t>
      </w:r>
      <w:r w:rsidR="004923AA">
        <w:rPr>
          <w:rFonts w:ascii="Bookman Old Style" w:hAnsi="Bookman Old Style" w:cs="Arial"/>
        </w:rPr>
        <w:t>T</w:t>
      </w:r>
      <w:r w:rsidR="004923AA" w:rsidRPr="004923AA">
        <w:rPr>
          <w:rFonts w:ascii="Bookman Old Style" w:hAnsi="Bookman Old Style" w:cs="Arial"/>
        </w:rPr>
        <w:t xml:space="preserve">ecnología e </w:t>
      </w:r>
      <w:r w:rsidR="004923AA">
        <w:rPr>
          <w:rFonts w:ascii="Bookman Old Style" w:hAnsi="Bookman Old Style" w:cs="Arial"/>
        </w:rPr>
        <w:t>I</w:t>
      </w:r>
      <w:r w:rsidR="004923AA" w:rsidRPr="004923AA">
        <w:rPr>
          <w:rFonts w:ascii="Bookman Old Style" w:hAnsi="Bookman Old Style" w:cs="Arial"/>
        </w:rPr>
        <w:t>nnovación (SINACTI)</w:t>
      </w:r>
      <w:r w:rsidRPr="000341C1">
        <w:rPr>
          <w:rFonts w:ascii="Bookman Old Style" w:hAnsi="Bookman Old Style" w:cs="Arial"/>
        </w:rPr>
        <w:t>.</w:t>
      </w:r>
    </w:p>
    <w:p w14:paraId="39D17507" w14:textId="7C82F047" w:rsidR="008A7BDC" w:rsidRPr="000341C1" w:rsidRDefault="008A7BDC" w:rsidP="008A7BD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13</w:t>
      </w:r>
      <w:r>
        <w:rPr>
          <w:rFonts w:ascii="Bookman Old Style" w:hAnsi="Bookman Old Style" w:cs="Arial"/>
          <w:b/>
        </w:rPr>
        <w:t>45</w:t>
      </w:r>
      <w:r w:rsidRPr="00123111">
        <w:rPr>
          <w:rFonts w:ascii="Bookman Old Style" w:hAnsi="Bookman Old Style" w:cs="Arial"/>
          <w:b/>
        </w:rPr>
        <w:t>/2021-</w:t>
      </w:r>
      <w:r>
        <w:rPr>
          <w:rFonts w:ascii="Bookman Old Style" w:hAnsi="Bookman Old Style" w:cs="Arial"/>
          <w:b/>
        </w:rPr>
        <w:t>CR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 xml:space="preserve">propone </w:t>
      </w:r>
      <w:r w:rsidRPr="008A7BDC">
        <w:rPr>
          <w:rFonts w:ascii="Bookman Old Style" w:hAnsi="Bookman Old Style" w:cs="Arial"/>
        </w:rPr>
        <w:t xml:space="preserve">declarar de necesidad, utilidad pública y preferente interés nacional la creación e implementación del </w:t>
      </w:r>
      <w:r>
        <w:rPr>
          <w:rFonts w:ascii="Bookman Old Style" w:hAnsi="Bookman Old Style" w:cs="Arial"/>
        </w:rPr>
        <w:t>P</w:t>
      </w:r>
      <w:r w:rsidRPr="008A7BDC">
        <w:rPr>
          <w:rFonts w:ascii="Bookman Old Style" w:hAnsi="Bookman Old Style" w:cs="Arial"/>
        </w:rPr>
        <w:t xml:space="preserve">arque </w:t>
      </w:r>
      <w:r>
        <w:rPr>
          <w:rFonts w:ascii="Bookman Old Style" w:hAnsi="Bookman Old Style" w:cs="Arial"/>
        </w:rPr>
        <w:t>C</w:t>
      </w:r>
      <w:r w:rsidRPr="008A7BDC">
        <w:rPr>
          <w:rFonts w:ascii="Bookman Old Style" w:hAnsi="Bookman Old Style" w:cs="Arial"/>
        </w:rPr>
        <w:t>ientífico-</w:t>
      </w:r>
      <w:r>
        <w:rPr>
          <w:rFonts w:ascii="Bookman Old Style" w:hAnsi="Bookman Old Style" w:cs="Arial"/>
        </w:rPr>
        <w:t>T</w:t>
      </w:r>
      <w:r w:rsidRPr="008A7BDC">
        <w:rPr>
          <w:rFonts w:ascii="Bookman Old Style" w:hAnsi="Bookman Old Style" w:cs="Arial"/>
        </w:rPr>
        <w:t xml:space="preserve">ecnológico de la provincia de </w:t>
      </w:r>
      <w:r>
        <w:rPr>
          <w:rFonts w:ascii="Bookman Old Style" w:hAnsi="Bookman Old Style" w:cs="Arial"/>
        </w:rPr>
        <w:t>T</w:t>
      </w:r>
      <w:r w:rsidRPr="008A7BDC">
        <w:rPr>
          <w:rFonts w:ascii="Bookman Old Style" w:hAnsi="Bookman Old Style" w:cs="Arial"/>
        </w:rPr>
        <w:t xml:space="preserve">rujillo, en el departamento de </w:t>
      </w:r>
      <w:r>
        <w:rPr>
          <w:rFonts w:ascii="Bookman Old Style" w:hAnsi="Bookman Old Style" w:cs="Arial"/>
        </w:rPr>
        <w:t>L</w:t>
      </w:r>
      <w:r w:rsidRPr="008A7BDC">
        <w:rPr>
          <w:rFonts w:ascii="Bookman Old Style" w:hAnsi="Bookman Old Style" w:cs="Arial"/>
        </w:rPr>
        <w:t xml:space="preserve">a </w:t>
      </w:r>
      <w:r>
        <w:rPr>
          <w:rFonts w:ascii="Bookman Old Style" w:hAnsi="Bookman Old Style" w:cs="Arial"/>
        </w:rPr>
        <w:t>L</w:t>
      </w:r>
      <w:r w:rsidRPr="008A7BDC">
        <w:rPr>
          <w:rFonts w:ascii="Bookman Old Style" w:hAnsi="Bookman Old Style" w:cs="Arial"/>
        </w:rPr>
        <w:t>ibertad.</w:t>
      </w:r>
    </w:p>
    <w:p w14:paraId="0C41FDE0" w14:textId="77777777" w:rsidR="001220F1" w:rsidRPr="001220F1" w:rsidRDefault="001220F1" w:rsidP="001220F1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137632A6" w14:textId="44C037C7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30393CBC" w14:textId="20CC653C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3C3AA0D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bookmarkStart w:id="0" w:name="_GoBack"/>
      <w:bookmarkEnd w:id="0"/>
      <w:r>
        <w:rPr>
          <w:rFonts w:ascii="Bookman Old Style" w:hAnsi="Bookman Old Style" w:cs="Arial"/>
          <w:b/>
        </w:rPr>
        <w:t>ORDEN DEL DÍA</w:t>
      </w:r>
    </w:p>
    <w:p w14:paraId="1347776B" w14:textId="77BE93F8" w:rsidR="00003860" w:rsidRDefault="00003860" w:rsidP="00742A76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</w:t>
      </w:r>
      <w:r w:rsidRPr="00AC0DB4">
        <w:rPr>
          <w:rFonts w:ascii="Bookman Old Style" w:eastAsiaTheme="minorEastAsia" w:hAnsi="Bookman Old Style" w:cstheme="minorBidi"/>
          <w:b/>
          <w:lang w:val="es-ES" w:eastAsia="es-ES"/>
        </w:rPr>
        <w:t>Consejo Nacional de Ciencia, Tecnología e Innovación</w:t>
      </w:r>
      <w:r w:rsidR="00F87C79">
        <w:rPr>
          <w:rFonts w:ascii="Bookman Old Style" w:eastAsiaTheme="minorEastAsia" w:hAnsi="Bookman Old Style" w:cstheme="minorBidi"/>
          <w:b/>
          <w:lang w:val="es-ES" w:eastAsia="es-ES"/>
        </w:rPr>
        <w:t xml:space="preserve"> Tecnológica</w:t>
      </w:r>
      <w:r w:rsidR="00D701D1">
        <w:rPr>
          <w:rFonts w:ascii="Bookman Old Style" w:eastAsiaTheme="minorEastAsia" w:hAnsi="Bookman Old Style" w:cstheme="minorBidi"/>
          <w:b/>
          <w:lang w:val="es-ES" w:eastAsia="es-ES"/>
        </w:rPr>
        <w:t xml:space="preserve"> (CONCYTEC)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a la </w:t>
      </w:r>
      <w:r>
        <w:rPr>
          <w:rFonts w:ascii="Bookman Old Style" w:eastAsiaTheme="minorEastAsia" w:hAnsi="Bookman Old Style" w:cstheme="minorBidi"/>
          <w:i/>
          <w:lang w:val="es-ES" w:eastAsia="es-ES"/>
        </w:rPr>
        <w:t xml:space="preserve">Situación actual de los institutos públicos de investigación </w:t>
      </w:r>
      <w:r w:rsidR="00F87C79">
        <w:rPr>
          <w:rFonts w:ascii="Bookman Old Style" w:eastAsiaTheme="minorEastAsia" w:hAnsi="Bookman Old Style" w:cstheme="minorBidi"/>
          <w:i/>
          <w:lang w:val="es-ES" w:eastAsia="es-ES"/>
        </w:rPr>
        <w:t>y opinión del Proyecto de Ley 1157/2021-CR, mediante el cual se propone el fortalecimiento del Instituto Geofísico del Perú.</w:t>
      </w:r>
    </w:p>
    <w:p w14:paraId="6E830409" w14:textId="6E09F293" w:rsidR="00742A76" w:rsidRDefault="007D5994" w:rsidP="00742A76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</w:t>
      </w:r>
      <w:r w:rsidR="00645B24">
        <w:rPr>
          <w:rFonts w:ascii="Bookman Old Style" w:eastAsiaTheme="minorEastAsia" w:hAnsi="Bookman Old Style" w:cstheme="minorBidi"/>
          <w:lang w:val="es-ES" w:eastAsia="es-ES"/>
        </w:rPr>
        <w:t>d</w:t>
      </w:r>
      <w:r w:rsidR="00AA268B">
        <w:rPr>
          <w:rFonts w:ascii="Bookman Old Style" w:eastAsiaTheme="minorEastAsia" w:hAnsi="Bookman Old Style" w:cstheme="minorBidi"/>
          <w:lang w:val="es-ES" w:eastAsia="es-ES"/>
        </w:rPr>
        <w:t>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AA268B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>a doctora</w:t>
      </w:r>
      <w:r w:rsidR="00AA268B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Carmen Rosa García Dávila</w:t>
      </w:r>
      <w:r w:rsidR="00AA268B">
        <w:rPr>
          <w:rFonts w:ascii="Bookman Old Style" w:eastAsiaTheme="minorEastAsia" w:hAnsi="Bookman Old Style" w:cstheme="minorBidi"/>
          <w:lang w:val="es-ES" w:eastAsia="es-ES"/>
        </w:rPr>
        <w:t>,</w:t>
      </w:r>
      <w:r w:rsidR="00645B24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>Presidenta Ejecutiva del Instituto de Investigaciones de la Amazonía Peruana (IIAP)</w:t>
      </w:r>
      <w:r w:rsidR="00645B24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>
        <w:rPr>
          <w:rFonts w:ascii="Bookman Old Style" w:eastAsiaTheme="minorEastAsia" w:hAnsi="Bookman Old Style" w:cstheme="minorBidi"/>
          <w:lang w:val="es-ES" w:eastAsia="es-ES"/>
        </w:rPr>
        <w:t>respecto a</w:t>
      </w:r>
      <w:r w:rsidR="00503928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i/>
          <w:lang w:val="es-ES" w:eastAsia="es-ES"/>
        </w:rPr>
        <w:t>Resultados obtenidos por el IIAP en los 40 años de vida institucional</w:t>
      </w:r>
      <w:r w:rsidR="00F87C79">
        <w:rPr>
          <w:rFonts w:ascii="Bookman Old Style" w:eastAsiaTheme="minorEastAsia" w:hAnsi="Bookman Old Style" w:cstheme="minorBidi"/>
          <w:i/>
          <w:lang w:val="es-ES" w:eastAsia="es-ES"/>
        </w:rPr>
        <w:t>, problemática y desafíos</w:t>
      </w:r>
      <w:r w:rsidR="00645B24" w:rsidRPr="00645B24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EABE399" w14:textId="60F48D6F" w:rsidR="004966BE" w:rsidRDefault="004966BE" w:rsidP="004966BE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20E2C74C" w14:textId="77777777" w:rsidR="004966BE" w:rsidRDefault="004966BE" w:rsidP="004966BE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7E419F91" w14:textId="1BCA8567" w:rsidR="00E86057" w:rsidRDefault="00E86057" w:rsidP="00E86057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</w:t>
      </w:r>
      <w:r w:rsidR="00503928"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 w:rsidR="00F87C79">
        <w:rPr>
          <w:rFonts w:ascii="Bookman Old Style" w:eastAsiaTheme="minorEastAsia" w:hAnsi="Bookman Old Style" w:cstheme="minorBidi"/>
          <w:b/>
          <w:lang w:val="es-ES" w:eastAsia="es-ES"/>
        </w:rPr>
        <w:t>Instituto Geológico, Minero y Metalúrgico (INGEMMET)</w:t>
      </w:r>
      <w:r w:rsidR="00503928">
        <w:rPr>
          <w:rFonts w:ascii="Bookman Old Style" w:eastAsiaTheme="minorEastAsia" w:hAnsi="Bookman Old Style" w:cstheme="minorBidi"/>
          <w:lang w:val="es-ES" w:eastAsia="es-ES"/>
        </w:rPr>
        <w:t xml:space="preserve"> respecto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a </w:t>
      </w:r>
      <w:r w:rsidR="00D701D1">
        <w:rPr>
          <w:rFonts w:ascii="Bookman Old Style" w:eastAsiaTheme="minorEastAsia" w:hAnsi="Bookman Old Style" w:cstheme="minorBidi"/>
          <w:i/>
          <w:lang w:val="es-ES" w:eastAsia="es-ES"/>
        </w:rPr>
        <w:t>D</w:t>
      </w:r>
      <w:r w:rsidRPr="00E86057">
        <w:rPr>
          <w:rFonts w:ascii="Bookman Old Style" w:eastAsiaTheme="minorEastAsia" w:hAnsi="Bookman Old Style" w:cstheme="minorBidi"/>
          <w:i/>
          <w:lang w:val="es-ES" w:eastAsia="es-ES"/>
        </w:rPr>
        <w:t xml:space="preserve">uplicidad y superposición de funciones </w:t>
      </w:r>
      <w:r w:rsidR="003407DB">
        <w:rPr>
          <w:rFonts w:ascii="Bookman Old Style" w:eastAsiaTheme="minorEastAsia" w:hAnsi="Bookman Old Style" w:cstheme="minorBidi"/>
          <w:i/>
          <w:lang w:val="es-ES" w:eastAsia="es-ES"/>
        </w:rPr>
        <w:t>entre</w:t>
      </w:r>
      <w:r w:rsidRPr="00E86057">
        <w:rPr>
          <w:rFonts w:ascii="Bookman Old Style" w:eastAsiaTheme="minorEastAsia" w:hAnsi="Bookman Old Style" w:cstheme="minorBidi"/>
          <w:i/>
          <w:lang w:val="es-ES" w:eastAsia="es-ES"/>
        </w:rPr>
        <w:t xml:space="preserve"> INGEMMET </w:t>
      </w:r>
      <w:r w:rsidR="003407DB">
        <w:rPr>
          <w:rFonts w:ascii="Bookman Old Style" w:eastAsiaTheme="minorEastAsia" w:hAnsi="Bookman Old Style" w:cstheme="minorBidi"/>
          <w:i/>
          <w:lang w:val="es-ES" w:eastAsia="es-ES"/>
        </w:rPr>
        <w:t xml:space="preserve">y el Instituto Geofísico del Perú, </w:t>
      </w:r>
      <w:r w:rsidRPr="00E86057">
        <w:rPr>
          <w:rFonts w:ascii="Bookman Old Style" w:eastAsiaTheme="minorEastAsia" w:hAnsi="Bookman Old Style" w:cstheme="minorBidi"/>
          <w:i/>
          <w:lang w:val="es-ES" w:eastAsia="es-ES"/>
        </w:rPr>
        <w:t xml:space="preserve">con </w:t>
      </w:r>
      <w:r w:rsidR="000951DD">
        <w:rPr>
          <w:rFonts w:ascii="Bookman Old Style" w:eastAsiaTheme="minorEastAsia" w:hAnsi="Bookman Old Style" w:cstheme="minorBidi"/>
          <w:i/>
          <w:lang w:val="es-ES" w:eastAsia="es-ES"/>
        </w:rPr>
        <w:t>el</w:t>
      </w:r>
      <w:r w:rsidRPr="00E86057">
        <w:rPr>
          <w:rFonts w:ascii="Bookman Old Style" w:eastAsiaTheme="minorEastAsia" w:hAnsi="Bookman Old Style" w:cstheme="minorBidi"/>
          <w:i/>
          <w:lang w:val="es-ES" w:eastAsia="es-ES"/>
        </w:rPr>
        <w:t xml:space="preserve"> Observatorio Vulcanológico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D701D1">
        <w:rPr>
          <w:rFonts w:ascii="Bookman Old Style" w:eastAsiaTheme="minorEastAsia" w:hAnsi="Bookman Old Style" w:cstheme="minorBidi"/>
          <w:i/>
          <w:lang w:val="es-ES" w:eastAsia="es-ES"/>
        </w:rPr>
        <w:t xml:space="preserve">referido </w:t>
      </w:r>
      <w:r w:rsidR="00D701D1" w:rsidRPr="00D701D1">
        <w:rPr>
          <w:rFonts w:ascii="Bookman Old Style" w:eastAsiaTheme="minorEastAsia" w:hAnsi="Bookman Old Style" w:cstheme="minorBidi"/>
          <w:i/>
          <w:lang w:val="es-ES" w:eastAsia="es-ES"/>
        </w:rPr>
        <w:t xml:space="preserve">en </w:t>
      </w:r>
      <w:r w:rsidRPr="00D701D1">
        <w:rPr>
          <w:rFonts w:ascii="Bookman Old Style" w:eastAsiaTheme="minorEastAsia" w:hAnsi="Bookman Old Style" w:cstheme="minorBidi"/>
          <w:i/>
          <w:lang w:val="es-ES" w:eastAsia="es-ES"/>
        </w:rPr>
        <w:t>el Proyecto de Ley 1157/2021-CR</w:t>
      </w:r>
      <w:r w:rsidRPr="00E8605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7FC94C0" w14:textId="538A8757" w:rsidR="00446E2D" w:rsidRDefault="00E86057" w:rsidP="00673ABE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</w:t>
      </w:r>
      <w:r w:rsidR="00BF6DAD">
        <w:rPr>
          <w:rFonts w:ascii="Bookman Old Style" w:eastAsiaTheme="minorEastAsia" w:hAnsi="Bookman Old Style" w:cstheme="minorBidi"/>
          <w:lang w:val="es-ES" w:eastAsia="es-ES"/>
        </w:rPr>
        <w:t xml:space="preserve">técnica y legal </w:t>
      </w:r>
      <w:r w:rsidR="00446E2D">
        <w:rPr>
          <w:rFonts w:ascii="Bookman Old Style" w:eastAsiaTheme="minorEastAsia" w:hAnsi="Bookman Old Style" w:cstheme="minorBidi"/>
          <w:lang w:val="es-ES" w:eastAsia="es-ES"/>
        </w:rPr>
        <w:t>del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E86057">
        <w:rPr>
          <w:rFonts w:ascii="Bookman Old Style" w:eastAsiaTheme="minorEastAsia" w:hAnsi="Bookman Old Style" w:cstheme="minorBidi"/>
          <w:b/>
          <w:lang w:val="es-ES" w:eastAsia="es-ES"/>
        </w:rPr>
        <w:t>Instituto Geofísico del Perú (IGP)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del</w:t>
      </w:r>
      <w:r w:rsidR="00446E2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446E2D" w:rsidRPr="008F6E1F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F87C79">
        <w:rPr>
          <w:rFonts w:ascii="Bookman Old Style" w:eastAsiaTheme="minorEastAsia" w:hAnsi="Bookman Old Style" w:cstheme="minorBidi"/>
          <w:b/>
          <w:lang w:val="es-ES" w:eastAsia="es-ES"/>
        </w:rPr>
        <w:t>1157</w:t>
      </w:r>
      <w:r w:rsidR="00446E2D" w:rsidRPr="008F6E1F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 w:rsidR="00446E2D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5E69D0">
        <w:rPr>
          <w:rFonts w:ascii="Bookman Old Style" w:eastAsiaTheme="minorEastAsia" w:hAnsi="Bookman Old Style" w:cstheme="minorBidi"/>
          <w:lang w:val="es-ES" w:eastAsia="es-ES"/>
        </w:rPr>
        <w:t>mediante el cual se propone el fortalecimiento del Instituto Geofísico del Perú</w:t>
      </w:r>
      <w:r w:rsidR="00673ABE">
        <w:rPr>
          <w:rFonts w:ascii="Bookman Old Style" w:eastAsiaTheme="minorEastAsia" w:hAnsi="Bookman Old Style" w:cstheme="minorBidi"/>
          <w:lang w:val="es-ES" w:eastAsia="es-ES"/>
        </w:rPr>
        <w:t xml:space="preserve">, e </w:t>
      </w:r>
      <w:r w:rsidR="00673ABE" w:rsidRPr="00673ABE">
        <w:rPr>
          <w:rFonts w:ascii="Bookman Old Style" w:eastAsiaTheme="minorEastAsia" w:hAnsi="Bookman Old Style" w:cstheme="minorBidi"/>
          <w:lang w:val="es-ES" w:eastAsia="es-ES"/>
        </w:rPr>
        <w:t>inform</w:t>
      </w:r>
      <w:r w:rsidR="00673ABE">
        <w:rPr>
          <w:rFonts w:ascii="Bookman Old Style" w:eastAsiaTheme="minorEastAsia" w:hAnsi="Bookman Old Style" w:cstheme="minorBidi"/>
          <w:lang w:val="es-ES" w:eastAsia="es-ES"/>
        </w:rPr>
        <w:t>e</w:t>
      </w:r>
      <w:r w:rsidR="00673ABE" w:rsidRPr="00673ABE">
        <w:rPr>
          <w:rFonts w:ascii="Bookman Old Style" w:eastAsiaTheme="minorEastAsia" w:hAnsi="Bookman Old Style" w:cstheme="minorBidi"/>
          <w:lang w:val="es-ES" w:eastAsia="es-ES"/>
        </w:rPr>
        <w:t xml:space="preserve"> respecto a la </w:t>
      </w:r>
      <w:r w:rsidR="00673ABE" w:rsidRPr="00673ABE">
        <w:rPr>
          <w:rFonts w:ascii="Bookman Old Style" w:eastAsiaTheme="minorEastAsia" w:hAnsi="Bookman Old Style" w:cstheme="minorBidi"/>
          <w:i/>
          <w:lang w:val="es-ES" w:eastAsia="es-ES"/>
        </w:rPr>
        <w:t>Duplicidad y superposición de funciones entre Instituto Geológico, Minero y Metalúrgico y el IGP, con el Observatorio Vulcanológico</w:t>
      </w:r>
      <w:r w:rsidR="00673ABE" w:rsidRPr="00673ABE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E30E88C" w14:textId="77777777" w:rsidR="00632D89" w:rsidRPr="00632D89" w:rsidRDefault="00632D89" w:rsidP="00632D89">
      <w:p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78E04DBF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E86057">
        <w:rPr>
          <w:rFonts w:ascii="Bookman Old Style" w:eastAsia="Times New Roman" w:hAnsi="Bookman Old Style" w:cs="Arial"/>
          <w:lang w:val="es-ES" w:eastAsia="es-ES"/>
        </w:rPr>
        <w:t>28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9C3772">
        <w:rPr>
          <w:rFonts w:ascii="Bookman Old Style" w:eastAsia="Times New Roman" w:hAnsi="Bookman Old Style" w:cs="Arial"/>
          <w:lang w:val="es-ES" w:eastAsia="es-ES"/>
        </w:rPr>
        <w:t>febrero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8D921" w14:textId="77777777" w:rsidR="004A3F4D" w:rsidRDefault="004A3F4D">
      <w:pPr>
        <w:spacing w:after="0" w:line="240" w:lineRule="auto"/>
      </w:pPr>
      <w:r>
        <w:separator/>
      </w:r>
    </w:p>
  </w:endnote>
  <w:endnote w:type="continuationSeparator" w:id="0">
    <w:p w14:paraId="6633B5A7" w14:textId="77777777" w:rsidR="004A3F4D" w:rsidRDefault="004A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49F502E5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A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A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70D29" w14:textId="77777777" w:rsidR="004A3F4D" w:rsidRDefault="004A3F4D">
      <w:pPr>
        <w:spacing w:after="0" w:line="240" w:lineRule="auto"/>
      </w:pPr>
      <w:r>
        <w:separator/>
      </w:r>
    </w:p>
  </w:footnote>
  <w:footnote w:type="continuationSeparator" w:id="0">
    <w:p w14:paraId="1A310902" w14:textId="77777777" w:rsidR="004A3F4D" w:rsidRDefault="004A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E773D65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902D65" w:rsidRPr="00902D65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Año del Fortalecimiento de la Soberanía Nacional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E773D65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902D65" w:rsidRPr="00902D65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Año del Fortalecimiento de la Soberanía Nacional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BE4417C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0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7"/>
  </w:num>
  <w:num w:numId="7">
    <w:abstractNumId w:val="22"/>
  </w:num>
  <w:num w:numId="8">
    <w:abstractNumId w:val="23"/>
  </w:num>
  <w:num w:numId="9">
    <w:abstractNumId w:val="5"/>
  </w:num>
  <w:num w:numId="10">
    <w:abstractNumId w:val="28"/>
  </w:num>
  <w:num w:numId="11">
    <w:abstractNumId w:val="21"/>
  </w:num>
  <w:num w:numId="12">
    <w:abstractNumId w:val="25"/>
  </w:num>
  <w:num w:numId="13">
    <w:abstractNumId w:val="33"/>
  </w:num>
  <w:num w:numId="14">
    <w:abstractNumId w:val="32"/>
  </w:num>
  <w:num w:numId="15">
    <w:abstractNumId w:val="9"/>
  </w:num>
  <w:num w:numId="16">
    <w:abstractNumId w:val="31"/>
  </w:num>
  <w:num w:numId="17">
    <w:abstractNumId w:val="29"/>
  </w:num>
  <w:num w:numId="18">
    <w:abstractNumId w:val="15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  <w:num w:numId="30">
    <w:abstractNumId w:val="30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6137"/>
    <w:rsid w:val="0007780C"/>
    <w:rsid w:val="00080E38"/>
    <w:rsid w:val="00082AA9"/>
    <w:rsid w:val="00082DAB"/>
    <w:rsid w:val="0008395A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1008BD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41E04"/>
    <w:rsid w:val="001429BA"/>
    <w:rsid w:val="00145B98"/>
    <w:rsid w:val="001470D4"/>
    <w:rsid w:val="0015232D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76749"/>
    <w:rsid w:val="0038251C"/>
    <w:rsid w:val="00384705"/>
    <w:rsid w:val="00385CBC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23D2"/>
    <w:rsid w:val="005734F3"/>
    <w:rsid w:val="005825F8"/>
    <w:rsid w:val="005826EC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2D89"/>
    <w:rsid w:val="0064004F"/>
    <w:rsid w:val="00644B2F"/>
    <w:rsid w:val="00645340"/>
    <w:rsid w:val="0064568D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3A6F"/>
    <w:rsid w:val="00673ABE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5AD1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C2F"/>
    <w:rsid w:val="007A3BE8"/>
    <w:rsid w:val="007A4A12"/>
    <w:rsid w:val="007A65B9"/>
    <w:rsid w:val="007B0152"/>
    <w:rsid w:val="007B1A7C"/>
    <w:rsid w:val="007B1D15"/>
    <w:rsid w:val="007B5F5E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4560"/>
    <w:rsid w:val="0098510D"/>
    <w:rsid w:val="00986683"/>
    <w:rsid w:val="00991BBA"/>
    <w:rsid w:val="00991EBD"/>
    <w:rsid w:val="00993237"/>
    <w:rsid w:val="0099565C"/>
    <w:rsid w:val="009975F8"/>
    <w:rsid w:val="009A0EE0"/>
    <w:rsid w:val="009A13A3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32A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5C76"/>
    <w:rsid w:val="00CC682F"/>
    <w:rsid w:val="00CD1CF7"/>
    <w:rsid w:val="00CD25AB"/>
    <w:rsid w:val="00CD487E"/>
    <w:rsid w:val="00CE0A4D"/>
    <w:rsid w:val="00CE0D62"/>
    <w:rsid w:val="00CE13B1"/>
    <w:rsid w:val="00CE39BC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78D"/>
    <w:rsid w:val="00E00E56"/>
    <w:rsid w:val="00E01872"/>
    <w:rsid w:val="00E03D99"/>
    <w:rsid w:val="00E05FEF"/>
    <w:rsid w:val="00E05FFC"/>
    <w:rsid w:val="00E0695E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FC8DF-96F5-4F0A-AC40-222A5F96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14</cp:revision>
  <cp:lastPrinted>2022-02-16T15:47:00Z</cp:lastPrinted>
  <dcterms:created xsi:type="dcterms:W3CDTF">2022-02-18T15:06:00Z</dcterms:created>
  <dcterms:modified xsi:type="dcterms:W3CDTF">2022-02-24T19:30:00Z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