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784D2FC" w:rsidR="00AC6F83" w:rsidRDefault="00F854DE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SEGUNDA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24B56E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F854DE">
        <w:rPr>
          <w:rFonts w:ascii="Bookman Old Style" w:hAnsi="Bookman Old Style" w:cs="Arial"/>
        </w:rPr>
        <w:t>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854DE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2DEF8ED4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F854DE">
        <w:rPr>
          <w:rFonts w:ascii="Bookman Old Style" w:hAnsi="Bookman Old Style" w:cs="Arial"/>
        </w:rPr>
        <w:t>Primera</w:t>
      </w:r>
      <w:r w:rsidR="00E50BE0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F854DE">
        <w:rPr>
          <w:rFonts w:ascii="Bookman Old Style" w:hAnsi="Bookman Old Style" w:cs="Arial"/>
        </w:rPr>
        <w:t>31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F854DE">
        <w:rPr>
          <w:rFonts w:ascii="Bookman Old Style" w:hAnsi="Bookman Old Style" w:cs="Arial"/>
        </w:rPr>
        <w:t>agosto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14D3646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854DE">
        <w:rPr>
          <w:rFonts w:ascii="Bookman Old Style" w:hAnsi="Bookman Old Style" w:cs="Arial"/>
        </w:rPr>
        <w:t>1 de agosto</w:t>
      </w:r>
      <w:r w:rsidR="00C13CD6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 xml:space="preserve">al </w:t>
      </w:r>
      <w:r w:rsidR="00C15465">
        <w:rPr>
          <w:rFonts w:ascii="Bookman Old Style" w:hAnsi="Bookman Old Style" w:cs="Arial"/>
        </w:rPr>
        <w:t>5</w:t>
      </w:r>
      <w:r w:rsidR="00E50BE0">
        <w:rPr>
          <w:rFonts w:ascii="Bookman Old Style" w:hAnsi="Bookman Old Style" w:cs="Arial"/>
        </w:rPr>
        <w:t xml:space="preserve"> de </w:t>
      </w:r>
      <w:r w:rsidR="00C15465">
        <w:rPr>
          <w:rFonts w:ascii="Bookman Old Style" w:hAnsi="Bookman Old Style" w:cs="Arial"/>
        </w:rPr>
        <w:t>setiembre</w:t>
      </w:r>
      <w:r w:rsidR="00E50BE0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64B1997D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15465">
        <w:rPr>
          <w:rFonts w:ascii="Bookman Old Style" w:hAnsi="Bookman Old Style" w:cs="Arial"/>
        </w:rPr>
        <w:t xml:space="preserve">26 de agosto al 5 de setiembre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0C5A4886" w14:textId="132BA744" w:rsidR="008B1653" w:rsidRPr="001943C8" w:rsidRDefault="008B1653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1943C8">
        <w:rPr>
          <w:rFonts w:ascii="Bookman Old Style" w:hAnsi="Bookman Old Style" w:cs="Arial"/>
        </w:rPr>
        <w:t>Proposiciones Legislativas:</w:t>
      </w:r>
    </w:p>
    <w:p w14:paraId="0CBCA031" w14:textId="77777777" w:rsidR="001943C8" w:rsidRDefault="001943C8" w:rsidP="001943C8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787AE8D" w14:textId="0D516DE1" w:rsidR="008B1653" w:rsidRDefault="008B1653" w:rsidP="008B1653">
      <w:pPr>
        <w:pStyle w:val="Prrafodelista"/>
        <w:numPr>
          <w:ilvl w:val="0"/>
          <w:numId w:val="36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943C8">
        <w:rPr>
          <w:rFonts w:ascii="Bookman Old Style" w:hAnsi="Bookman Old Style" w:cs="Arial"/>
          <w:b/>
          <w:bCs/>
        </w:rPr>
        <w:t>Proyecto de Ley 2939/2022-CR</w:t>
      </w:r>
      <w:r>
        <w:rPr>
          <w:rFonts w:ascii="Bookman Old Style" w:hAnsi="Bookman Old Style" w:cs="Arial"/>
        </w:rPr>
        <w:t xml:space="preserve">, mediante el cual se propone crear el Canon Eólico </w:t>
      </w:r>
      <w:r w:rsidR="001943C8">
        <w:rPr>
          <w:rFonts w:ascii="Bookman Old Style" w:hAnsi="Bookman Old Style" w:cs="Arial"/>
        </w:rPr>
        <w:t>por el aprovechamiento de energía eólica.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37479A0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0A28B7B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79DFC4E" w14:textId="69477AE4" w:rsidR="00731F85" w:rsidRDefault="00731F85" w:rsidP="00731F8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9E668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2423/2021-PE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9E668C">
        <w:rPr>
          <w:rFonts w:ascii="Bookman Old Style" w:eastAsiaTheme="minorEastAsia" w:hAnsi="Bookman Old Style" w:cstheme="minorBidi"/>
          <w:lang w:val="es-ES" w:eastAsia="es-ES"/>
        </w:rPr>
        <w:t>establecer que el ingreso de vehículos de transporte internacional por carretera al territorio nacional cumpla con la normativa vigente en el país en materia de calidad de combustibles</w:t>
      </w:r>
      <w:r>
        <w:rPr>
          <w:rFonts w:ascii="Bookman Old Style" w:eastAsiaTheme="minorEastAsia" w:hAnsi="Bookman Old Style" w:cstheme="minorBidi"/>
          <w:lang w:val="es-ES" w:eastAsia="es-ES"/>
        </w:rPr>
        <w:t>, a cargo del</w:t>
      </w:r>
      <w:r w:rsidR="001C0C52">
        <w:rPr>
          <w:rFonts w:ascii="Bookman Old Style" w:eastAsiaTheme="minorEastAsia" w:hAnsi="Bookman Old Style" w:cstheme="minorBidi"/>
          <w:lang w:val="es-ES" w:eastAsia="es-ES"/>
        </w:rPr>
        <w:t xml:space="preserve"> señor </w:t>
      </w:r>
      <w:r w:rsidR="001C0C52" w:rsidRPr="001C0C52">
        <w:rPr>
          <w:rFonts w:ascii="Bookman Old Style" w:eastAsiaTheme="minorEastAsia" w:hAnsi="Bookman Old Style" w:cstheme="minorBidi"/>
          <w:b/>
          <w:bCs/>
          <w:lang w:val="es-ES" w:eastAsia="es-ES"/>
        </w:rPr>
        <w:t>Ricardo Villavicencio Ferro</w:t>
      </w:r>
      <w:r w:rsidR="001C0C52">
        <w:rPr>
          <w:rFonts w:ascii="Bookman Old Style" w:eastAsiaTheme="minorEastAsia" w:hAnsi="Bookman Old Style" w:cstheme="minorBidi"/>
          <w:lang w:val="es-ES" w:eastAsia="es-ES"/>
        </w:rPr>
        <w:t>, director de Procesamiento, Transporte y Comercialización de Hidrocarburos y Biocombustibles 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Energía y Minas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CC1E11C" w14:textId="4342B73A" w:rsidR="00C3032B" w:rsidRDefault="00C3032B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13744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2454/2021-GL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crear el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anon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nergético por el aprovechamiento de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nergía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ólica -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anon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 xml:space="preserve">ólico para el distrito de </w:t>
      </w:r>
      <w:r>
        <w:rPr>
          <w:rFonts w:ascii="Bookman Old Style" w:eastAsiaTheme="minorEastAsia" w:hAnsi="Bookman Old Style" w:cstheme="minorBidi"/>
          <w:lang w:val="es-ES" w:eastAsia="es-ES"/>
        </w:rPr>
        <w:t>O</w:t>
      </w:r>
      <w:r w:rsidRPr="00C3032B">
        <w:rPr>
          <w:rFonts w:ascii="Bookman Old Style" w:eastAsiaTheme="minorEastAsia" w:hAnsi="Bookman Old Style" w:cstheme="minorBidi"/>
          <w:lang w:val="es-ES" w:eastAsia="es-ES"/>
        </w:rPr>
        <w:t>cucaje</w:t>
      </w:r>
      <w:r>
        <w:rPr>
          <w:rFonts w:ascii="Bookman Old Style" w:eastAsiaTheme="minorEastAsia" w:hAnsi="Bookman Old Style" w:cstheme="minorBidi"/>
          <w:lang w:val="es-ES" w:eastAsia="es-ES"/>
        </w:rPr>
        <w:t>, a cargo del</w:t>
      </w:r>
      <w:r w:rsidR="00525BF3">
        <w:rPr>
          <w:rFonts w:ascii="Bookman Old Style" w:eastAsiaTheme="minorEastAsia" w:hAnsi="Bookman Old Style" w:cstheme="minorBidi"/>
          <w:lang w:val="es-ES" w:eastAsia="es-ES"/>
        </w:rPr>
        <w:t xml:space="preserve"> señor </w:t>
      </w:r>
      <w:r w:rsidR="00525BF3" w:rsidRPr="00525BF3">
        <w:rPr>
          <w:rFonts w:ascii="Bookman Old Style" w:eastAsiaTheme="minorEastAsia" w:hAnsi="Bookman Old Style" w:cstheme="minorBidi"/>
          <w:b/>
          <w:bCs/>
          <w:lang w:val="es-ES" w:eastAsia="es-ES"/>
        </w:rPr>
        <w:t>Rolando</w:t>
      </w:r>
      <w:r w:rsidRPr="00525BF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525BF3" w:rsidRPr="00525BF3">
        <w:rPr>
          <w:rFonts w:ascii="Bookman Old Style" w:eastAsiaTheme="minorEastAsia" w:hAnsi="Bookman Old Style" w:cstheme="minorBidi"/>
          <w:b/>
          <w:bCs/>
          <w:lang w:val="es-ES" w:eastAsia="es-ES"/>
        </w:rPr>
        <w:t>Jayo Melgar</w:t>
      </w:r>
      <w:r w:rsidR="00525BF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FD3679">
        <w:rPr>
          <w:rFonts w:ascii="Bookman Old Style" w:eastAsiaTheme="minorEastAsia" w:hAnsi="Bookman Old Style" w:cstheme="minorBidi"/>
          <w:lang w:val="es-ES" w:eastAsia="es-ES"/>
        </w:rPr>
        <w:t>a</w:t>
      </w:r>
      <w:r w:rsidR="00525BF3">
        <w:rPr>
          <w:rFonts w:ascii="Bookman Old Style" w:eastAsiaTheme="minorEastAsia" w:hAnsi="Bookman Old Style" w:cstheme="minorBidi"/>
          <w:lang w:val="es-ES" w:eastAsia="es-ES"/>
        </w:rPr>
        <w:t xml:space="preserve">lcalde de la </w:t>
      </w:r>
      <w:r>
        <w:rPr>
          <w:rFonts w:ascii="Bookman Old Style" w:eastAsiaTheme="minorEastAsia" w:hAnsi="Bookman Old Style" w:cstheme="minorBidi"/>
          <w:lang w:val="es-ES" w:eastAsia="es-ES"/>
        </w:rPr>
        <w:t>Municipalidad Distrital de Ocucaje, en su condición de autor de la iniciativa.</w:t>
      </w:r>
    </w:p>
    <w:p w14:paraId="762B9195" w14:textId="699C4426" w:rsidR="00681AF4" w:rsidRDefault="00681AF4" w:rsidP="00C1546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de la Comisión </w:t>
      </w:r>
      <w:r w:rsidR="003F2F73">
        <w:rPr>
          <w:rFonts w:ascii="Bookman Old Style" w:eastAsiaTheme="minorEastAsia" w:hAnsi="Bookman Old Style" w:cstheme="minorBidi"/>
          <w:lang w:val="es-ES" w:eastAsia="es-ES"/>
        </w:rPr>
        <w:t xml:space="preserve">para </w:t>
      </w:r>
      <w:r>
        <w:rPr>
          <w:rFonts w:ascii="Bookman Old Style" w:eastAsiaTheme="minorEastAsia" w:hAnsi="Bookman Old Style" w:cstheme="minorBidi"/>
          <w:lang w:val="es-ES" w:eastAsia="es-ES"/>
        </w:rPr>
        <w:t>solicita</w:t>
      </w:r>
      <w:r w:rsidR="003F2F73">
        <w:rPr>
          <w:rFonts w:ascii="Bookman Old Style" w:eastAsiaTheme="minorEastAsia" w:hAnsi="Bookman Old Style" w:cstheme="minorBidi"/>
          <w:lang w:val="es-ES" w:eastAsia="es-ES"/>
        </w:rPr>
        <w:t xml:space="preserve">r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 xml:space="preserve">a la Presidencia del Congreso de la República </w:t>
      </w:r>
      <w:r w:rsidR="003F2F73">
        <w:rPr>
          <w:rFonts w:ascii="Bookman Old Style" w:eastAsiaTheme="minorEastAsia" w:hAnsi="Bookman Old Style" w:cstheme="minorBidi"/>
          <w:lang w:val="es-ES" w:eastAsia="es-ES"/>
        </w:rPr>
        <w:t>poner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 xml:space="preserve"> a consideración del Pleno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la segunda votación del </w:t>
      </w:r>
      <w:r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1883</w:t>
      </w:r>
      <w:r w:rsidR="00D92680"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/2021-PE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Ley que 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modifica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 xml:space="preserve">el artículo 3 de 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L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ey 31429,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L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>ey que modifica los artículos 1, 2 y 3, e incorpora el artículo 3-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A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 en la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L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ey 27510,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L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ey que crea el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F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ondo de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C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ompensación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S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 xml:space="preserve">ocial 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E</w:t>
      </w:r>
      <w:r w:rsidR="00D92680" w:rsidRPr="00D92680">
        <w:rPr>
          <w:rFonts w:ascii="Bookman Old Style" w:eastAsiaTheme="minorEastAsia" w:hAnsi="Bookman Old Style" w:cstheme="minorBidi"/>
          <w:lang w:val="es-ES" w:eastAsia="es-ES"/>
        </w:rPr>
        <w:t>léctrica</w:t>
      </w:r>
      <w:r w:rsidR="00D92680">
        <w:rPr>
          <w:rFonts w:ascii="Bookman Old Style" w:eastAsiaTheme="minorEastAsia" w:hAnsi="Bookman Old Style" w:cstheme="minorBidi"/>
          <w:lang w:val="es-ES" w:eastAsia="es-ES"/>
        </w:rPr>
        <w:t>, con la finalidad de adelantar su vigencia.</w:t>
      </w:r>
    </w:p>
    <w:p w14:paraId="69867EF7" w14:textId="3E344443" w:rsidR="00CD4059" w:rsidRDefault="00C15465" w:rsidP="00C1546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dictamen de inhibición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="00CD4059" w:rsidRPr="00C15465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2692</w:t>
      </w:r>
      <w:r w:rsidR="00CD4059" w:rsidRPr="00C15465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CD4059" w:rsidRPr="00C15465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 declarar de interés nacional el proyecto de riego 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úpac 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maru en las provincias de 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comayo,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anchis y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 xml:space="preserve">anas en el departamento de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C15465">
        <w:rPr>
          <w:rFonts w:ascii="Bookman Old Style" w:eastAsiaTheme="minorEastAsia" w:hAnsi="Bookman Old Style" w:cstheme="minorBidi"/>
          <w:lang w:val="es-ES" w:eastAsia="es-ES"/>
        </w:rPr>
        <w:t>usco</w:t>
      </w:r>
      <w:r w:rsidR="00CD4059" w:rsidRPr="00C15465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44FCEE1" w14:textId="13053B43" w:rsidR="00436889" w:rsidRPr="00C15465" w:rsidRDefault="00436889" w:rsidP="00C1546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dictamen negativo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4368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281/2021-CR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436889">
        <w:rPr>
          <w:rFonts w:ascii="Bookman Old Style" w:eastAsiaTheme="minorEastAsia" w:hAnsi="Bookman Old Style" w:cstheme="minorBidi"/>
          <w:lang w:val="es-ES" w:eastAsia="es-ES"/>
        </w:rPr>
        <w:t>crear el vice ministerio de metalurgia en el ministerio de energía y minas.</w:t>
      </w:r>
    </w:p>
    <w:p w14:paraId="5FB89E63" w14:textId="6732990E" w:rsidR="00CC5333" w:rsidRPr="00CD4059" w:rsidRDefault="00C15465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Conformación de </w:t>
      </w:r>
      <w:r w:rsidRPr="00D92680">
        <w:rPr>
          <w:rFonts w:ascii="Bookman Old Style" w:eastAsiaTheme="minorEastAsia" w:hAnsi="Bookman Old Style" w:cstheme="minorBidi"/>
          <w:b/>
          <w:bCs/>
          <w:lang w:val="es-ES" w:eastAsia="es-ES"/>
        </w:rPr>
        <w:t>Grupos de Trabajo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Energía y Minas correspondiente al Período Anual de Sesiones 2022-2023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B20CF9F" w14:textId="77777777" w:rsidR="00D92680" w:rsidRDefault="00D92680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FDB4CDE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C15465">
        <w:rPr>
          <w:rFonts w:ascii="Bookman Old Style" w:eastAsia="Times New Roman" w:hAnsi="Bookman Old Style" w:cs="Arial"/>
          <w:lang w:val="es-ES" w:eastAsia="es-ES"/>
        </w:rPr>
        <w:t>5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15465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05C0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2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5"/>
  </w:num>
  <w:num w:numId="5" w16cid:durableId="1691570135">
    <w:abstractNumId w:val="1"/>
  </w:num>
  <w:num w:numId="6" w16cid:durableId="585305886">
    <w:abstractNumId w:val="29"/>
  </w:num>
  <w:num w:numId="7" w16cid:durableId="1023287463">
    <w:abstractNumId w:val="23"/>
  </w:num>
  <w:num w:numId="8" w16cid:durableId="1662198607">
    <w:abstractNumId w:val="24"/>
  </w:num>
  <w:num w:numId="9" w16cid:durableId="1808934290">
    <w:abstractNumId w:val="6"/>
  </w:num>
  <w:num w:numId="10" w16cid:durableId="1687752769">
    <w:abstractNumId w:val="30"/>
  </w:num>
  <w:num w:numId="11" w16cid:durableId="973876104">
    <w:abstractNumId w:val="22"/>
  </w:num>
  <w:num w:numId="12" w16cid:durableId="17783316">
    <w:abstractNumId w:val="26"/>
  </w:num>
  <w:num w:numId="13" w16cid:durableId="2130203904">
    <w:abstractNumId w:val="35"/>
  </w:num>
  <w:num w:numId="14" w16cid:durableId="561913410">
    <w:abstractNumId w:val="34"/>
  </w:num>
  <w:num w:numId="15" w16cid:durableId="155801405">
    <w:abstractNumId w:val="10"/>
  </w:num>
  <w:num w:numId="16" w16cid:durableId="2043705161">
    <w:abstractNumId w:val="33"/>
  </w:num>
  <w:num w:numId="17" w16cid:durableId="343673651">
    <w:abstractNumId w:val="31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1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7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2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28"/>
  </w:num>
  <w:num w:numId="36" w16cid:durableId="154352066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2022-06-14T15:50:00Z</cp:lastPrinted>
  <dcterms:created xsi:type="dcterms:W3CDTF">2022-09-05T19:48:00Z</dcterms:created>
  <dcterms:modified xsi:type="dcterms:W3CDTF">2022-09-06T14:36:00Z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